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51909" w14:textId="5E0BB2A8" w:rsidR="00027311" w:rsidRPr="00135458" w:rsidRDefault="005C4E13" w:rsidP="00045CDA">
      <w:pPr>
        <w:pStyle w:val="Heading2"/>
        <w:numPr>
          <w:ilvl w:val="0"/>
          <w:numId w:val="0"/>
        </w:numPr>
        <w:shd w:val="clear" w:color="auto" w:fill="008080"/>
        <w:spacing w:before="0" w:after="240" w:line="276" w:lineRule="auto"/>
        <w:rPr>
          <w:color w:val="FFFFFF" w:themeColor="background1"/>
          <w:sz w:val="28"/>
          <w:szCs w:val="28"/>
        </w:rPr>
      </w:pPr>
      <w:bookmarkStart w:id="0" w:name="_Hlk84413926"/>
      <w:r>
        <w:rPr>
          <w:color w:val="FFFFFF" w:themeColor="background1"/>
          <w:sz w:val="28"/>
          <w:szCs w:val="28"/>
        </w:rPr>
        <w:t xml:space="preserve">Kāpuia </w:t>
      </w:r>
      <w:bookmarkStart w:id="1" w:name="_Hlk97727580"/>
      <w:r>
        <w:rPr>
          <w:color w:val="FFFFFF" w:themeColor="background1"/>
          <w:sz w:val="28"/>
          <w:szCs w:val="28"/>
        </w:rPr>
        <w:t>Pānui</w:t>
      </w:r>
      <w:bookmarkEnd w:id="1"/>
      <w:r>
        <w:rPr>
          <w:color w:val="FFFFFF" w:themeColor="background1"/>
          <w:sz w:val="28"/>
          <w:szCs w:val="28"/>
        </w:rPr>
        <w:t xml:space="preserve"> 2022/0</w:t>
      </w:r>
      <w:r w:rsidR="00653210">
        <w:rPr>
          <w:color w:val="FFFFFF" w:themeColor="background1"/>
          <w:sz w:val="28"/>
          <w:szCs w:val="28"/>
        </w:rPr>
        <w:t>5</w:t>
      </w:r>
    </w:p>
    <w:p w14:paraId="78E73599" w14:textId="1E06AFAC" w:rsidR="005C4E13" w:rsidRPr="00FC79DB" w:rsidRDefault="00674DBE" w:rsidP="00045CDA">
      <w:pPr>
        <w:pStyle w:val="ListParagraph"/>
        <w:ind w:left="0"/>
        <w:rPr>
          <w:rFonts w:eastAsiaTheme="minorHAnsi"/>
        </w:rPr>
      </w:pPr>
      <w:r>
        <w:t>5</w:t>
      </w:r>
      <w:r w:rsidR="00BE0FA9">
        <w:t xml:space="preserve"> May </w:t>
      </w:r>
      <w:r w:rsidR="005C4E13">
        <w:t>2022</w:t>
      </w:r>
    </w:p>
    <w:p w14:paraId="59001C6D" w14:textId="010BCEE5" w:rsidR="005C4E13" w:rsidRPr="00A44598" w:rsidRDefault="005C4E13" w:rsidP="00045CDA">
      <w:pPr>
        <w:pStyle w:val="ListParagraph"/>
        <w:ind w:left="0"/>
      </w:pPr>
      <w:r>
        <w:t>Tēnā ko</w:t>
      </w:r>
      <w:r w:rsidRPr="00A44598">
        <w:t xml:space="preserve">utou and welcome to the </w:t>
      </w:r>
      <w:r w:rsidR="0031265F">
        <w:t>f</w:t>
      </w:r>
      <w:r w:rsidR="00653210">
        <w:t xml:space="preserve">ifth </w:t>
      </w:r>
      <w:r w:rsidRPr="00A44598">
        <w:t xml:space="preserve">edition of Kāpuia Pānui for 2022. </w:t>
      </w:r>
      <w:r w:rsidR="00562165" w:rsidRPr="00562165">
        <w:t xml:space="preserve">Eid Mubarak </w:t>
      </w:r>
      <w:r w:rsidR="00562165">
        <w:t xml:space="preserve">to our members celebrating </w:t>
      </w:r>
      <w:r w:rsidR="00562165" w:rsidRPr="00562165">
        <w:t>Eid al-Fitr</w:t>
      </w:r>
      <w:r w:rsidR="00562165">
        <w:t xml:space="preserve">. </w:t>
      </w:r>
    </w:p>
    <w:p w14:paraId="2E63612E" w14:textId="3DBEDCA1" w:rsidR="00BE0FA9" w:rsidRPr="00BE0FA9" w:rsidRDefault="005C4E13" w:rsidP="00045CDA">
      <w:pPr>
        <w:pStyle w:val="ListParagraph"/>
        <w:ind w:left="0"/>
        <w:rPr>
          <w:b/>
          <w:bCs/>
          <w:sz w:val="24"/>
          <w:szCs w:val="24"/>
        </w:rPr>
      </w:pPr>
      <w:r w:rsidRPr="00A44598">
        <w:rPr>
          <w:b/>
          <w:bCs/>
          <w:sz w:val="24"/>
          <w:szCs w:val="24"/>
        </w:rPr>
        <w:t>Agency updates on the RCOI Response Work Programme</w:t>
      </w:r>
    </w:p>
    <w:p w14:paraId="54C96BC5" w14:textId="0307596B" w:rsidR="003610DD" w:rsidRDefault="003610DD" w:rsidP="00045CDA">
      <w:pPr>
        <w:pStyle w:val="ListParagraph"/>
        <w:numPr>
          <w:ilvl w:val="0"/>
          <w:numId w:val="2"/>
        </w:numPr>
        <w:rPr>
          <w:b/>
          <w:bCs/>
          <w:color w:val="408386"/>
          <w:sz w:val="24"/>
          <w:szCs w:val="24"/>
        </w:rPr>
      </w:pPr>
      <w:r>
        <w:rPr>
          <w:b/>
          <w:bCs/>
          <w:color w:val="408386"/>
          <w:sz w:val="24"/>
          <w:szCs w:val="24"/>
        </w:rPr>
        <w:t>DIA releases 2021 Digital Violent Extremism Transparency Report</w:t>
      </w:r>
      <w:r w:rsidR="000A3200">
        <w:rPr>
          <w:b/>
          <w:bCs/>
          <w:color w:val="408386"/>
          <w:sz w:val="24"/>
          <w:szCs w:val="24"/>
        </w:rPr>
        <w:t xml:space="preserve"> (associated with Recommendation 41)</w:t>
      </w:r>
    </w:p>
    <w:p w14:paraId="61A0EC59" w14:textId="77777777" w:rsidR="000A3200" w:rsidRDefault="00BE0FA9" w:rsidP="00045CDA">
      <w:pPr>
        <w:pStyle w:val="ListParagraph"/>
        <w:spacing w:before="0" w:after="0" w:line="360" w:lineRule="atLeast"/>
      </w:pPr>
      <w:r>
        <w:t xml:space="preserve">On 28 April, </w:t>
      </w:r>
      <w:r w:rsidR="0098798F">
        <w:t xml:space="preserve">Te Tari Taiwhenua Department of Internal Affairs (DIA) released its first annual </w:t>
      </w:r>
      <w:bookmarkStart w:id="2" w:name="_Hlk96422039"/>
      <w:r w:rsidR="0098798F">
        <w:t>Digital Violent Extremism Transparency Report</w:t>
      </w:r>
      <w:bookmarkEnd w:id="2"/>
      <w:r w:rsidR="0098798F">
        <w:t xml:space="preserve"> to help the New Zealand public to better understand how DIA </w:t>
      </w:r>
      <w:r w:rsidR="0098798F" w:rsidRPr="0098798F">
        <w:t>works to identify and address online violent extremism.</w:t>
      </w:r>
      <w:bookmarkStart w:id="3" w:name="_Hlk96421992"/>
      <w:r w:rsidR="0098798F" w:rsidRPr="0098798F">
        <w:t xml:space="preserve">  The report provides an overview of the terrorist and violent extremist content that was reviewed and investigated by the DIA throughout 2021 and shows that </w:t>
      </w:r>
      <w:r w:rsidR="0098798F" w:rsidRPr="0098798F">
        <w:rPr>
          <w:rFonts w:ascii="Calibri" w:hAnsi="Calibri" w:cs="Calibri"/>
          <w:bdr w:val="none" w:sz="0" w:space="0" w:color="auto" w:frame="1"/>
          <w:shd w:val="clear" w:color="auto" w:fill="FFFFFF"/>
        </w:rPr>
        <w:t>white supremacy motivated extremism continues to be the leading driver of online content investigated and shut down by DIA.</w:t>
      </w:r>
      <w:r w:rsidR="0098798F">
        <w:rPr>
          <w:rFonts w:ascii="Calibri" w:hAnsi="Calibri" w:cs="Calibri"/>
          <w:bdr w:val="none" w:sz="0" w:space="0" w:color="auto" w:frame="1"/>
          <w:shd w:val="clear" w:color="auto" w:fill="FFFFFF"/>
        </w:rPr>
        <w:t xml:space="preserve">  Meanwhile Twitter was the platform where most content was investigated</w:t>
      </w:r>
      <w:r>
        <w:rPr>
          <w:rFonts w:ascii="Calibri" w:hAnsi="Calibri" w:cs="Calibri"/>
          <w:bdr w:val="none" w:sz="0" w:space="0" w:color="auto" w:frame="1"/>
          <w:shd w:val="clear" w:color="auto" w:fill="FFFFFF"/>
        </w:rPr>
        <w:t>,</w:t>
      </w:r>
      <w:r w:rsidR="0098798F">
        <w:rPr>
          <w:rFonts w:ascii="Calibri" w:hAnsi="Calibri" w:cs="Calibri"/>
          <w:bdr w:val="none" w:sz="0" w:space="0" w:color="auto" w:frame="1"/>
          <w:shd w:val="clear" w:color="auto" w:fill="FFFFFF"/>
        </w:rPr>
        <w:t xml:space="preserve"> though most content was removed swiftly or not considered objectionable.</w:t>
      </w:r>
      <w:r w:rsidR="0098798F" w:rsidRPr="0098798F">
        <w:t xml:space="preserve"> </w:t>
      </w:r>
      <w:bookmarkEnd w:id="3"/>
      <w:r w:rsidR="0098798F" w:rsidRPr="0098798F">
        <w:t xml:space="preserve"> The </w:t>
      </w:r>
      <w:r>
        <w:t>R</w:t>
      </w:r>
      <w:r w:rsidR="0098798F" w:rsidRPr="0098798F">
        <w:t xml:space="preserve">eport also provides the public with more information about the Online Crisis Response Process which DIA leads.  During 2021 the response was activated to increased monitoring four times including following the attack at Lynn Mall on 3 September 2021.  </w:t>
      </w:r>
    </w:p>
    <w:p w14:paraId="6029A735" w14:textId="77777777" w:rsidR="000A3200" w:rsidRDefault="000A3200" w:rsidP="00045CDA">
      <w:pPr>
        <w:pStyle w:val="ListParagraph"/>
        <w:spacing w:before="0" w:after="0" w:line="360" w:lineRule="atLeast"/>
      </w:pPr>
    </w:p>
    <w:p w14:paraId="711CB859" w14:textId="635D35C4" w:rsidR="003610DD" w:rsidRDefault="000A3200" w:rsidP="00045CDA">
      <w:pPr>
        <w:pStyle w:val="ListParagraph"/>
        <w:spacing w:before="0" w:after="0" w:line="360" w:lineRule="atLeast"/>
      </w:pPr>
      <w:r w:rsidRPr="0098798F">
        <w:t xml:space="preserve">The </w:t>
      </w:r>
      <w:r>
        <w:t>R</w:t>
      </w:r>
      <w:r w:rsidRPr="0098798F">
        <w:t xml:space="preserve">eport is in part a result </w:t>
      </w:r>
      <w:r>
        <w:t xml:space="preserve">of the Christchurch Call led by the New Zealand and French governments after the March 15 attack to eliminate terrorist and violent extremism content online.  </w:t>
      </w:r>
      <w:r w:rsidR="0098798F" w:rsidRPr="0098798F">
        <w:t xml:space="preserve">The </w:t>
      </w:r>
      <w:r w:rsidR="00BE0FA9">
        <w:t>R</w:t>
      </w:r>
      <w:r w:rsidR="0098798F" w:rsidRPr="0098798F">
        <w:t xml:space="preserve">eport was created in consultation with a range of domestic partners including NZ Police, </w:t>
      </w:r>
      <w:proofErr w:type="spellStart"/>
      <w:r w:rsidR="0098798F" w:rsidRPr="0098798F">
        <w:t>Netsafe</w:t>
      </w:r>
      <w:proofErr w:type="spellEnd"/>
      <w:r w:rsidR="0098798F" w:rsidRPr="0098798F">
        <w:t xml:space="preserve">, Security Agencies and the Classification Office. </w:t>
      </w:r>
      <w:r w:rsidR="00BE0FA9">
        <w:t xml:space="preserve"> </w:t>
      </w:r>
      <w:r w:rsidR="0098798F" w:rsidRPr="0098798F">
        <w:t>Key international partners including Five Eyes Partners and Europol were also involved.  Th</w:t>
      </w:r>
      <w:r w:rsidR="000F4181">
        <w:t>e</w:t>
      </w:r>
      <w:r w:rsidR="0098798F" w:rsidRPr="0098798F">
        <w:t xml:space="preserve"> </w:t>
      </w:r>
      <w:r w:rsidR="000F4181">
        <w:t>R</w:t>
      </w:r>
      <w:r w:rsidR="0098798F" w:rsidRPr="0098798F">
        <w:t xml:space="preserve">eport is available by clicking this </w:t>
      </w:r>
      <w:hyperlink r:id="rId7" w:history="1">
        <w:r w:rsidR="003610DD" w:rsidRPr="0098798F">
          <w:rPr>
            <w:rStyle w:val="Hyperlink"/>
            <w:color w:val="auto"/>
          </w:rPr>
          <w:t>link</w:t>
        </w:r>
      </w:hyperlink>
      <w:r w:rsidR="003610DD" w:rsidRPr="0098798F">
        <w:t>.</w:t>
      </w:r>
      <w:r w:rsidR="0098798F" w:rsidRPr="0098798F">
        <w:t xml:space="preserve">  </w:t>
      </w:r>
    </w:p>
    <w:p w14:paraId="34ACACF7" w14:textId="77777777" w:rsidR="007465EB" w:rsidRDefault="007465EB" w:rsidP="00045CDA">
      <w:pPr>
        <w:pStyle w:val="ListParagraph"/>
        <w:spacing w:before="0" w:after="0" w:line="360" w:lineRule="atLeast"/>
      </w:pPr>
    </w:p>
    <w:p w14:paraId="1FA708F1" w14:textId="06D1E202" w:rsidR="007465EB" w:rsidRPr="007465EB" w:rsidRDefault="007465EB" w:rsidP="00045CDA">
      <w:pPr>
        <w:pStyle w:val="ListParagraph"/>
        <w:numPr>
          <w:ilvl w:val="0"/>
          <w:numId w:val="2"/>
        </w:numPr>
        <w:rPr>
          <w:b/>
          <w:bCs/>
          <w:color w:val="408386"/>
          <w:sz w:val="24"/>
          <w:szCs w:val="24"/>
        </w:rPr>
      </w:pPr>
      <w:r>
        <w:rPr>
          <w:b/>
          <w:bCs/>
          <w:color w:val="408386"/>
          <w:sz w:val="24"/>
          <w:szCs w:val="24"/>
        </w:rPr>
        <w:t>Further c</w:t>
      </w:r>
      <w:r w:rsidRPr="007465EB">
        <w:rPr>
          <w:b/>
          <w:bCs/>
          <w:color w:val="408386"/>
          <w:sz w:val="24"/>
          <w:szCs w:val="24"/>
        </w:rPr>
        <w:t xml:space="preserve">onsultation on </w:t>
      </w:r>
      <w:r>
        <w:rPr>
          <w:b/>
          <w:bCs/>
          <w:color w:val="408386"/>
          <w:sz w:val="24"/>
          <w:szCs w:val="24"/>
        </w:rPr>
        <w:t>United Nations Cybercrime Treaty</w:t>
      </w:r>
      <w:r w:rsidR="005704C2">
        <w:rPr>
          <w:b/>
          <w:bCs/>
          <w:color w:val="408386"/>
          <w:sz w:val="24"/>
          <w:szCs w:val="24"/>
        </w:rPr>
        <w:t xml:space="preserve"> (associated with Recommendation 18)</w:t>
      </w:r>
    </w:p>
    <w:p w14:paraId="2D47F615" w14:textId="24F952C7" w:rsidR="00527FCF" w:rsidRDefault="00201834" w:rsidP="00045CDA">
      <w:pPr>
        <w:pStyle w:val="ListParagraph"/>
        <w:spacing w:before="0" w:after="0" w:line="360" w:lineRule="atLeast"/>
      </w:pPr>
      <w:r>
        <w:t xml:space="preserve">DPMC and the Ministry of Foreign Affairs and Trade </w:t>
      </w:r>
      <w:r w:rsidR="00CE4E43">
        <w:t xml:space="preserve">have published a </w:t>
      </w:r>
      <w:r>
        <w:t xml:space="preserve">summary of </w:t>
      </w:r>
      <w:r w:rsidR="00CE4E43">
        <w:t xml:space="preserve">feedback on </w:t>
      </w:r>
      <w:r w:rsidR="00CE4E43" w:rsidRPr="00201834">
        <w:t>New Zealand's draft principles and objectives for negotiating a new UN convention on cybercrime</w:t>
      </w:r>
      <w:r w:rsidR="00CE4E43">
        <w:t xml:space="preserve">  </w:t>
      </w:r>
      <w:r>
        <w:t xml:space="preserve"> </w:t>
      </w:r>
      <w:hyperlink r:id="rId8" w:history="1">
        <w:r w:rsidRPr="00201834">
          <w:rPr>
            <w:rStyle w:val="Hyperlink"/>
          </w:rPr>
          <w:t>here</w:t>
        </w:r>
      </w:hyperlink>
      <w:r>
        <w:t xml:space="preserve">.  </w:t>
      </w:r>
      <w:r w:rsidR="00527FCF">
        <w:t>A</w:t>
      </w:r>
      <w:r w:rsidR="00527FCF" w:rsidRPr="00527FCF">
        <w:t>cceding to and implementing the Budapest Convention</w:t>
      </w:r>
      <w:r w:rsidR="00527FCF">
        <w:t xml:space="preserve"> comes under RCOI recommendation 18 and this work is designed to complement, not compete with this process. </w:t>
      </w:r>
    </w:p>
    <w:p w14:paraId="047CBD96" w14:textId="77777777" w:rsidR="00527FCF" w:rsidRDefault="00527FCF" w:rsidP="00045CDA">
      <w:pPr>
        <w:pStyle w:val="ListParagraph"/>
        <w:spacing w:before="0" w:after="0" w:line="360" w:lineRule="atLeast"/>
      </w:pPr>
    </w:p>
    <w:p w14:paraId="7ECF2989" w14:textId="134560A7" w:rsidR="00527FCF" w:rsidRDefault="007465EB" w:rsidP="00527FCF">
      <w:pPr>
        <w:pStyle w:val="ListParagraph"/>
        <w:spacing w:before="0" w:after="0" w:line="360" w:lineRule="atLeast"/>
      </w:pPr>
      <w:r>
        <w:t>The United Nations is holding its second session of its Ad Hoc Committee process to negotiate a new cybercrime convention from 30 May-10 June in Vienna.</w:t>
      </w:r>
      <w:r w:rsidR="00674DBE">
        <w:t xml:space="preserve"> </w:t>
      </w:r>
      <w:r>
        <w:t xml:space="preserve"> The second session will cover the first reading of the general provisions, criminalisation provisions and provisions of procedural measures and law enforcemen</w:t>
      </w:r>
      <w:r w:rsidRPr="00267427">
        <w:t>t.  In preparation, DPMC is seeking feedback on New Zealand’s written statement on criminalisation provisions, its approach and any other matters you think should be front of mind for the</w:t>
      </w:r>
      <w:r>
        <w:t xml:space="preserve"> NZ negotiating team as they prepare for the upcoming session.  If you </w:t>
      </w:r>
      <w:r w:rsidR="00FE23AE">
        <w:t xml:space="preserve">or people you know </w:t>
      </w:r>
      <w:r>
        <w:t>are interested in making a submission, please visit the</w:t>
      </w:r>
      <w:r w:rsidR="006A6372">
        <w:t xml:space="preserve"> DPMC website </w:t>
      </w:r>
      <w:r>
        <w:t xml:space="preserve">by clicking this </w:t>
      </w:r>
      <w:hyperlink r:id="rId9" w:history="1">
        <w:r>
          <w:rPr>
            <w:rStyle w:val="Hyperlink"/>
          </w:rPr>
          <w:t>link</w:t>
        </w:r>
      </w:hyperlink>
      <w:r>
        <w:t xml:space="preserve">, read through the NZ statement, and let them know what you think by emailing your feedback to </w:t>
      </w:r>
      <w:hyperlink r:id="rId10" w:history="1">
        <w:r w:rsidRPr="007465EB">
          <w:rPr>
            <w:rStyle w:val="Hyperlink"/>
          </w:rPr>
          <w:t>UNcybercrimeconvention@dpmc.govt.nz</w:t>
        </w:r>
      </w:hyperlink>
      <w:r w:rsidRPr="007465EB">
        <w:t xml:space="preserve">. </w:t>
      </w:r>
      <w:r w:rsidR="00674DBE">
        <w:t xml:space="preserve"> </w:t>
      </w:r>
      <w:r w:rsidR="00FE23AE">
        <w:t>Public c</w:t>
      </w:r>
      <w:r w:rsidRPr="007465EB">
        <w:t>onsultation closes at 5pm on 20 May.</w:t>
      </w:r>
      <w:r w:rsidR="00201834">
        <w:t xml:space="preserve"> </w:t>
      </w:r>
    </w:p>
    <w:p w14:paraId="67E5980E" w14:textId="6E07381C" w:rsidR="00BF70B0" w:rsidRDefault="00BF70B0" w:rsidP="00527FCF">
      <w:pPr>
        <w:pStyle w:val="ListParagraph"/>
        <w:spacing w:before="0" w:after="0" w:line="360" w:lineRule="atLeast"/>
      </w:pPr>
    </w:p>
    <w:p w14:paraId="4817B574" w14:textId="6FC1D2F9" w:rsidR="007465EB" w:rsidRPr="000A3200" w:rsidRDefault="007465EB" w:rsidP="000A3200">
      <w:pPr>
        <w:pStyle w:val="ListParagraph"/>
        <w:spacing w:before="0" w:after="0" w:line="360" w:lineRule="atLeast"/>
      </w:pPr>
    </w:p>
    <w:p w14:paraId="29F3CBC5" w14:textId="2D229733" w:rsidR="00BF5268" w:rsidRPr="000C350B" w:rsidRDefault="00501300" w:rsidP="00045CDA">
      <w:pPr>
        <w:pStyle w:val="ListParagraph"/>
        <w:numPr>
          <w:ilvl w:val="0"/>
          <w:numId w:val="2"/>
        </w:numPr>
        <w:rPr>
          <w:b/>
          <w:bCs/>
          <w:color w:val="408386"/>
          <w:sz w:val="24"/>
          <w:szCs w:val="24"/>
        </w:rPr>
      </w:pPr>
      <w:r w:rsidRPr="000C350B">
        <w:rPr>
          <w:b/>
          <w:bCs/>
          <w:color w:val="408386"/>
          <w:sz w:val="24"/>
          <w:szCs w:val="24"/>
        </w:rPr>
        <w:t>Review of the Search and Surveillance Act underway</w:t>
      </w:r>
      <w:r w:rsidR="00045CDA">
        <w:rPr>
          <w:b/>
          <w:bCs/>
          <w:color w:val="408386"/>
          <w:sz w:val="24"/>
          <w:szCs w:val="24"/>
        </w:rPr>
        <w:t xml:space="preserve"> (Recommendation 18)</w:t>
      </w:r>
    </w:p>
    <w:p w14:paraId="3E107CE7" w14:textId="1BD8CCB5" w:rsidR="000C350B" w:rsidRDefault="00501300" w:rsidP="00045CDA">
      <w:pPr>
        <w:pStyle w:val="NormalWeb"/>
        <w:spacing w:before="0" w:after="0" w:line="360" w:lineRule="atLeast"/>
        <w:ind w:left="720"/>
        <w:rPr>
          <w:rFonts w:ascii="Calibri" w:hAnsi="Calibri" w:cs="Calibri"/>
          <w:sz w:val="22"/>
          <w:szCs w:val="22"/>
        </w:rPr>
      </w:pPr>
      <w:r w:rsidRPr="000C350B">
        <w:rPr>
          <w:rFonts w:ascii="Calibri" w:hAnsi="Calibri" w:cs="Calibri"/>
          <w:sz w:val="22"/>
          <w:szCs w:val="22"/>
        </w:rPr>
        <w:t xml:space="preserve">On 4 April, the Ministry of Justice initiated its review of all counter-terrorism-related legislation under the Search and Surveillance Act 2012. </w:t>
      </w:r>
      <w:r w:rsidR="00D6675A" w:rsidRPr="000C350B">
        <w:rPr>
          <w:rFonts w:ascii="Calibri" w:hAnsi="Calibri" w:cs="Calibri"/>
          <w:sz w:val="22"/>
          <w:szCs w:val="22"/>
        </w:rPr>
        <w:t xml:space="preserve"> </w:t>
      </w:r>
      <w:r w:rsidR="00DF3533" w:rsidRPr="000C350B">
        <w:rPr>
          <w:rFonts w:ascii="Calibri" w:hAnsi="Calibri" w:cs="Calibri"/>
          <w:color w:val="000000"/>
          <w:sz w:val="22"/>
          <w:szCs w:val="22"/>
          <w:shd w:val="clear" w:color="auto" w:fill="FFFFFF"/>
        </w:rPr>
        <w:t>The Act controls how Police and other law enforcement agencies can search people or property and carry out surveillance.</w:t>
      </w:r>
      <w:r w:rsidR="00D6675A" w:rsidRPr="000C350B">
        <w:rPr>
          <w:rFonts w:ascii="Calibri" w:hAnsi="Calibri" w:cs="Calibri"/>
          <w:color w:val="000000"/>
          <w:sz w:val="22"/>
          <w:szCs w:val="22"/>
          <w:shd w:val="clear" w:color="auto" w:fill="FFFFFF"/>
        </w:rPr>
        <w:t xml:space="preserve"> </w:t>
      </w:r>
      <w:r w:rsidRPr="000C350B">
        <w:rPr>
          <w:rFonts w:ascii="Calibri" w:hAnsi="Calibri" w:cs="Calibri"/>
          <w:sz w:val="22"/>
          <w:szCs w:val="22"/>
        </w:rPr>
        <w:t>T</w:t>
      </w:r>
      <w:r w:rsidR="000C350B">
        <w:rPr>
          <w:rFonts w:ascii="Calibri" w:hAnsi="Calibri" w:cs="Calibri"/>
          <w:sz w:val="22"/>
          <w:szCs w:val="22"/>
        </w:rPr>
        <w:t>he review</w:t>
      </w:r>
      <w:r w:rsidRPr="000C350B">
        <w:rPr>
          <w:rFonts w:ascii="Calibri" w:hAnsi="Calibri" w:cs="Calibri"/>
          <w:sz w:val="22"/>
          <w:szCs w:val="22"/>
        </w:rPr>
        <w:t xml:space="preserve"> relates to recommendation 18 of the RCOI to review all legislation related to the counter-terrorism effort to ensure it is current and enables public sector agencies to operate effectively. </w:t>
      </w:r>
      <w:r w:rsidRPr="00501300">
        <w:rPr>
          <w:rFonts w:ascii="Calibri" w:hAnsi="Calibri" w:cs="Calibri"/>
          <w:color w:val="000000"/>
          <w:sz w:val="22"/>
          <w:szCs w:val="22"/>
          <w:lang w:eastAsia="en-NZ"/>
        </w:rPr>
        <w:t>Additionally, the Law Commission and the Ministry of Justice reviewed the Act in 2016/17 and made 67 recommendations, which have yet to be considered by Government.</w:t>
      </w:r>
      <w:r w:rsidRPr="000C350B">
        <w:rPr>
          <w:rFonts w:ascii="Calibri" w:hAnsi="Calibri" w:cs="Calibri"/>
          <w:color w:val="000000"/>
          <w:sz w:val="22"/>
          <w:szCs w:val="22"/>
          <w:lang w:eastAsia="en-NZ"/>
        </w:rPr>
        <w:t xml:space="preserve">  </w:t>
      </w:r>
      <w:r w:rsidR="00D6675A" w:rsidRPr="000C350B">
        <w:rPr>
          <w:rFonts w:ascii="Calibri" w:hAnsi="Calibri" w:cs="Calibri"/>
          <w:sz w:val="22"/>
          <w:szCs w:val="22"/>
        </w:rPr>
        <w:t>There are more than 80 pieces of legislation that rely on powers under the Act for enforcement.  The Act does not apply to the activities of the Government Communications Security Bureau or the New Zealand Security Intelligence Service which operate under the Intelligence and Security Act 2017 which is </w:t>
      </w:r>
      <w:hyperlink r:id="rId11" w:tgtFrame="_blank" w:tooltip="Open external link" w:history="1">
        <w:r w:rsidR="00045CDA">
          <w:rPr>
            <w:rStyle w:val="Hyperlink"/>
            <w:rFonts w:ascii="Calibri" w:hAnsi="Calibri" w:cs="Calibri"/>
            <w:color w:val="0072C3"/>
            <w:sz w:val="22"/>
            <w:szCs w:val="22"/>
            <w:shd w:val="clear" w:color="auto" w:fill="FFFFFF"/>
          </w:rPr>
          <w:t>also being reviewed</w:t>
        </w:r>
      </w:hyperlink>
      <w:r w:rsidR="00045CDA">
        <w:rPr>
          <w:rStyle w:val="Hyperlink"/>
          <w:rFonts w:ascii="Calibri" w:hAnsi="Calibri" w:cs="Calibri"/>
          <w:color w:val="0072C3"/>
          <w:sz w:val="22"/>
          <w:szCs w:val="22"/>
          <w:shd w:val="clear" w:color="auto" w:fill="FFFFFF"/>
        </w:rPr>
        <w:t>.</w:t>
      </w:r>
      <w:r w:rsidR="000C350B">
        <w:rPr>
          <w:rFonts w:ascii="Calibri" w:hAnsi="Calibri" w:cs="Calibri"/>
          <w:sz w:val="22"/>
          <w:szCs w:val="22"/>
        </w:rPr>
        <w:t xml:space="preserve"> </w:t>
      </w:r>
      <w:r w:rsidR="00674DBE">
        <w:rPr>
          <w:rFonts w:ascii="Calibri" w:hAnsi="Calibri" w:cs="Calibri"/>
          <w:sz w:val="22"/>
          <w:szCs w:val="22"/>
        </w:rPr>
        <w:t xml:space="preserve"> </w:t>
      </w:r>
      <w:r w:rsidR="00D6675A" w:rsidRPr="00045CDA">
        <w:rPr>
          <w:rFonts w:ascii="Calibri" w:hAnsi="Calibri" w:cs="Calibri"/>
          <w:sz w:val="22"/>
          <w:szCs w:val="22"/>
        </w:rPr>
        <w:t>J</w:t>
      </w:r>
      <w:r w:rsidRPr="00045CDA">
        <w:rPr>
          <w:rFonts w:ascii="Calibri" w:hAnsi="Calibri" w:cs="Calibri"/>
          <w:sz w:val="22"/>
          <w:szCs w:val="22"/>
        </w:rPr>
        <w:t>ustice officials briefed Kāpuia at its</w:t>
      </w:r>
      <w:r w:rsidR="00231A95" w:rsidRPr="00045CDA">
        <w:rPr>
          <w:rFonts w:ascii="Calibri" w:hAnsi="Calibri" w:cs="Calibri"/>
          <w:sz w:val="22"/>
          <w:szCs w:val="22"/>
        </w:rPr>
        <w:t xml:space="preserve"> </w:t>
      </w:r>
      <w:r w:rsidR="00E718A6" w:rsidRPr="00045CDA">
        <w:rPr>
          <w:rFonts w:ascii="Calibri" w:hAnsi="Calibri" w:cs="Calibri"/>
          <w:sz w:val="22"/>
          <w:szCs w:val="22"/>
        </w:rPr>
        <w:t>September 2021</w:t>
      </w:r>
      <w:r w:rsidRPr="00045CDA">
        <w:rPr>
          <w:rFonts w:ascii="Calibri" w:hAnsi="Calibri" w:cs="Calibri"/>
          <w:sz w:val="22"/>
          <w:szCs w:val="22"/>
        </w:rPr>
        <w:t xml:space="preserve"> hui on the review and plan to come back to Kāpuia in </w:t>
      </w:r>
      <w:r w:rsidR="00E718A6" w:rsidRPr="00045CDA">
        <w:rPr>
          <w:rFonts w:ascii="Calibri" w:hAnsi="Calibri" w:cs="Calibri"/>
          <w:sz w:val="22"/>
          <w:szCs w:val="22"/>
        </w:rPr>
        <w:t>August 2022</w:t>
      </w:r>
      <w:r w:rsidR="00231A95" w:rsidRPr="00045CDA">
        <w:rPr>
          <w:rFonts w:ascii="Calibri" w:hAnsi="Calibri" w:cs="Calibri"/>
          <w:sz w:val="22"/>
          <w:szCs w:val="22"/>
        </w:rPr>
        <w:t>.</w:t>
      </w:r>
    </w:p>
    <w:p w14:paraId="6E64DF9E" w14:textId="6731F8AB" w:rsidR="000C350B" w:rsidRPr="000A3200" w:rsidRDefault="000C350B" w:rsidP="000A3200">
      <w:pPr>
        <w:pStyle w:val="ListParagraph"/>
        <w:spacing w:before="0" w:after="0" w:line="360" w:lineRule="atLeast"/>
      </w:pPr>
    </w:p>
    <w:p w14:paraId="5DFA291F" w14:textId="14AC4D74" w:rsidR="00D6675A" w:rsidRPr="000C350B" w:rsidRDefault="00501300" w:rsidP="00045CDA">
      <w:pPr>
        <w:pStyle w:val="NormalWeb"/>
        <w:spacing w:before="0" w:after="0" w:line="360" w:lineRule="atLeast"/>
        <w:ind w:left="720"/>
        <w:rPr>
          <w:rFonts w:ascii="Calibri" w:hAnsi="Calibri" w:cs="Calibri"/>
          <w:sz w:val="22"/>
          <w:szCs w:val="22"/>
        </w:rPr>
      </w:pPr>
      <w:r w:rsidRPr="000C350B">
        <w:rPr>
          <w:rFonts w:ascii="Calibri" w:hAnsi="Calibri" w:cs="Calibri"/>
          <w:sz w:val="22"/>
          <w:szCs w:val="22"/>
        </w:rPr>
        <w:t>The first phase of review</w:t>
      </w:r>
      <w:r w:rsidR="000C350B">
        <w:rPr>
          <w:rFonts w:ascii="Calibri" w:hAnsi="Calibri" w:cs="Calibri"/>
          <w:sz w:val="22"/>
          <w:szCs w:val="22"/>
        </w:rPr>
        <w:t>, taking place between April and June 2022,</w:t>
      </w:r>
      <w:r w:rsidRPr="000C350B">
        <w:rPr>
          <w:rFonts w:ascii="Calibri" w:hAnsi="Calibri" w:cs="Calibri"/>
          <w:sz w:val="22"/>
          <w:szCs w:val="22"/>
        </w:rPr>
        <w:t xml:space="preserve"> focuses on targeted engagement</w:t>
      </w:r>
      <w:r w:rsidR="00D6675A" w:rsidRPr="000C350B">
        <w:rPr>
          <w:rFonts w:ascii="Calibri" w:hAnsi="Calibri" w:cs="Calibri"/>
          <w:sz w:val="22"/>
          <w:szCs w:val="22"/>
        </w:rPr>
        <w:t xml:space="preserve"> </w:t>
      </w:r>
      <w:r w:rsidRPr="000C350B">
        <w:rPr>
          <w:rFonts w:ascii="Calibri" w:hAnsi="Calibri" w:cs="Calibri"/>
          <w:sz w:val="22"/>
          <w:szCs w:val="22"/>
        </w:rPr>
        <w:t xml:space="preserve">with Māori </w:t>
      </w:r>
      <w:r w:rsidR="00D6675A" w:rsidRPr="000C350B">
        <w:rPr>
          <w:rFonts w:ascii="Calibri" w:hAnsi="Calibri" w:cs="Calibri"/>
          <w:sz w:val="22"/>
          <w:szCs w:val="22"/>
        </w:rPr>
        <w:t>Treaty partners</w:t>
      </w:r>
      <w:r w:rsidRPr="000C350B">
        <w:rPr>
          <w:rFonts w:ascii="Calibri" w:hAnsi="Calibri" w:cs="Calibri"/>
          <w:sz w:val="22"/>
          <w:szCs w:val="22"/>
        </w:rPr>
        <w:t xml:space="preserve"> and with ethnic, faith-based, youth, rainbow, and other interested communities before conducting wider public engagement later this year.  </w:t>
      </w:r>
      <w:r w:rsidR="00D6675A" w:rsidRPr="000C350B">
        <w:rPr>
          <w:rFonts w:ascii="Calibri" w:hAnsi="Calibri" w:cs="Calibri"/>
          <w:sz w:val="22"/>
          <w:szCs w:val="22"/>
        </w:rPr>
        <w:t>Engagement will consider points such as:</w:t>
      </w:r>
    </w:p>
    <w:p w14:paraId="6559C6AC" w14:textId="0FAA7767" w:rsidR="00D6675A" w:rsidRPr="000C350B" w:rsidRDefault="00D6675A" w:rsidP="00045CDA">
      <w:pPr>
        <w:pStyle w:val="NormalWeb"/>
        <w:numPr>
          <w:ilvl w:val="0"/>
          <w:numId w:val="5"/>
        </w:numPr>
        <w:spacing w:before="240" w:after="0" w:line="360" w:lineRule="auto"/>
        <w:ind w:left="1094" w:hanging="357"/>
        <w:rPr>
          <w:rFonts w:ascii="Calibri" w:hAnsi="Calibri" w:cs="Calibri"/>
          <w:color w:val="000000"/>
          <w:sz w:val="22"/>
          <w:szCs w:val="22"/>
        </w:rPr>
      </w:pPr>
      <w:r w:rsidRPr="000C350B">
        <w:rPr>
          <w:rFonts w:ascii="Calibri" w:hAnsi="Calibri" w:cs="Calibri"/>
          <w:color w:val="000000"/>
          <w:sz w:val="22"/>
          <w:szCs w:val="22"/>
        </w:rPr>
        <w:lastRenderedPageBreak/>
        <w:t xml:space="preserve">How to ensure search and surveillance law enforcement activities are consistent with human rights and </w:t>
      </w:r>
      <w:proofErr w:type="spellStart"/>
      <w:r w:rsidRPr="000C350B">
        <w:rPr>
          <w:rFonts w:ascii="Calibri" w:hAnsi="Calibri" w:cs="Calibri"/>
          <w:color w:val="000000"/>
          <w:sz w:val="22"/>
          <w:szCs w:val="22"/>
        </w:rPr>
        <w:t>Te</w:t>
      </w:r>
      <w:proofErr w:type="spellEnd"/>
      <w:r w:rsidRPr="000C350B">
        <w:rPr>
          <w:rFonts w:ascii="Calibri" w:hAnsi="Calibri" w:cs="Calibri"/>
          <w:color w:val="000000"/>
          <w:sz w:val="22"/>
          <w:szCs w:val="22"/>
        </w:rPr>
        <w:t xml:space="preserve"> </w:t>
      </w:r>
      <w:proofErr w:type="spellStart"/>
      <w:r w:rsidRPr="000C350B">
        <w:rPr>
          <w:rFonts w:ascii="Calibri" w:hAnsi="Calibri" w:cs="Calibri"/>
          <w:color w:val="000000"/>
          <w:sz w:val="22"/>
          <w:szCs w:val="22"/>
        </w:rPr>
        <w:t>Tiriti</w:t>
      </w:r>
      <w:proofErr w:type="spellEnd"/>
      <w:r w:rsidRPr="000C350B">
        <w:rPr>
          <w:rFonts w:ascii="Calibri" w:hAnsi="Calibri" w:cs="Calibri"/>
          <w:color w:val="000000"/>
          <w:sz w:val="22"/>
          <w:szCs w:val="22"/>
        </w:rPr>
        <w:t xml:space="preserve"> o Waitangi</w:t>
      </w:r>
      <w:r w:rsidR="00045CDA">
        <w:rPr>
          <w:rFonts w:ascii="Calibri" w:hAnsi="Calibri" w:cs="Calibri"/>
          <w:color w:val="000000"/>
          <w:sz w:val="22"/>
          <w:szCs w:val="22"/>
        </w:rPr>
        <w:t>?</w:t>
      </w:r>
    </w:p>
    <w:p w14:paraId="1FDCE15D" w14:textId="59752DF8" w:rsidR="00D6675A" w:rsidRPr="000C350B" w:rsidRDefault="00D6675A" w:rsidP="00045CDA">
      <w:pPr>
        <w:pStyle w:val="NormalWeb"/>
        <w:numPr>
          <w:ilvl w:val="0"/>
          <w:numId w:val="5"/>
        </w:numPr>
        <w:spacing w:before="0" w:after="0" w:line="360" w:lineRule="auto"/>
        <w:ind w:left="1094" w:hanging="357"/>
        <w:rPr>
          <w:rFonts w:ascii="Calibri" w:hAnsi="Calibri" w:cs="Calibri"/>
          <w:color w:val="000000"/>
          <w:sz w:val="22"/>
          <w:szCs w:val="22"/>
        </w:rPr>
      </w:pPr>
      <w:r w:rsidRPr="000C350B">
        <w:rPr>
          <w:rFonts w:ascii="Calibri" w:hAnsi="Calibri" w:cs="Calibri"/>
          <w:color w:val="000000"/>
          <w:sz w:val="22"/>
          <w:szCs w:val="22"/>
        </w:rPr>
        <w:t>What safeguards are appropriate for search and surveillance activities</w:t>
      </w:r>
      <w:r w:rsidR="00045CDA">
        <w:rPr>
          <w:rFonts w:ascii="Calibri" w:hAnsi="Calibri" w:cs="Calibri"/>
          <w:color w:val="000000"/>
          <w:sz w:val="22"/>
          <w:szCs w:val="22"/>
        </w:rPr>
        <w:t>?</w:t>
      </w:r>
    </w:p>
    <w:p w14:paraId="60D295BB" w14:textId="50BC3638" w:rsidR="00D6675A" w:rsidRPr="000C350B" w:rsidRDefault="00D6675A" w:rsidP="00045CDA">
      <w:pPr>
        <w:numPr>
          <w:ilvl w:val="0"/>
          <w:numId w:val="5"/>
        </w:numPr>
        <w:spacing w:before="0" w:after="0" w:line="360" w:lineRule="auto"/>
        <w:ind w:left="1094" w:hanging="357"/>
        <w:rPr>
          <w:rFonts w:ascii="Calibri" w:hAnsi="Calibri" w:cs="Calibri"/>
          <w:color w:val="000000"/>
        </w:rPr>
      </w:pPr>
      <w:r w:rsidRPr="000C350B">
        <w:rPr>
          <w:rFonts w:ascii="Calibri" w:hAnsi="Calibri" w:cs="Calibri"/>
          <w:color w:val="000000"/>
        </w:rPr>
        <w:t>What principles, if any, should guide search and surveillance powers</w:t>
      </w:r>
      <w:r w:rsidR="00045CDA">
        <w:rPr>
          <w:rFonts w:ascii="Calibri" w:hAnsi="Calibri" w:cs="Calibri"/>
          <w:color w:val="000000"/>
        </w:rPr>
        <w:t>?</w:t>
      </w:r>
    </w:p>
    <w:p w14:paraId="09C70845" w14:textId="5150EFD2" w:rsidR="00D6675A" w:rsidRPr="000C350B" w:rsidRDefault="00D6675A" w:rsidP="00045CDA">
      <w:pPr>
        <w:numPr>
          <w:ilvl w:val="0"/>
          <w:numId w:val="5"/>
        </w:numPr>
        <w:spacing w:before="0" w:after="0" w:line="360" w:lineRule="auto"/>
        <w:ind w:left="1094" w:hanging="357"/>
        <w:rPr>
          <w:rFonts w:ascii="Calibri" w:hAnsi="Calibri" w:cs="Calibri"/>
          <w:color w:val="000000"/>
        </w:rPr>
      </w:pPr>
      <w:r w:rsidRPr="000C350B">
        <w:rPr>
          <w:rFonts w:ascii="Calibri" w:hAnsi="Calibri" w:cs="Calibri"/>
          <w:color w:val="000000"/>
        </w:rPr>
        <w:t>How to ensure the powers in the Act aren’t used disproportionately against different groups of people</w:t>
      </w:r>
      <w:r w:rsidR="00045CDA">
        <w:rPr>
          <w:rFonts w:ascii="Calibri" w:hAnsi="Calibri" w:cs="Calibri"/>
          <w:color w:val="000000"/>
        </w:rPr>
        <w:t>?</w:t>
      </w:r>
    </w:p>
    <w:p w14:paraId="3394F0AC" w14:textId="2FE8A6E5" w:rsidR="00D6675A" w:rsidRPr="000C350B" w:rsidRDefault="00D6675A" w:rsidP="00045CDA">
      <w:pPr>
        <w:numPr>
          <w:ilvl w:val="0"/>
          <w:numId w:val="5"/>
        </w:numPr>
        <w:spacing w:before="0" w:after="0" w:line="360" w:lineRule="auto"/>
        <w:ind w:left="1094" w:hanging="357"/>
        <w:rPr>
          <w:rFonts w:ascii="Calibri" w:hAnsi="Calibri" w:cs="Calibri"/>
          <w:color w:val="000000"/>
        </w:rPr>
      </w:pPr>
      <w:r w:rsidRPr="000C350B">
        <w:rPr>
          <w:rFonts w:ascii="Calibri" w:hAnsi="Calibri" w:cs="Calibri"/>
          <w:color w:val="000000"/>
        </w:rPr>
        <w:t>How to best make rules about surveillance considering ever-changing technology</w:t>
      </w:r>
      <w:r w:rsidR="00045CDA">
        <w:rPr>
          <w:rFonts w:ascii="Calibri" w:hAnsi="Calibri" w:cs="Calibri"/>
          <w:color w:val="000000"/>
        </w:rPr>
        <w:t>?</w:t>
      </w:r>
    </w:p>
    <w:p w14:paraId="73E1B366" w14:textId="7756B850" w:rsidR="00D6675A" w:rsidRPr="000C350B" w:rsidRDefault="00D6675A" w:rsidP="00045CDA">
      <w:pPr>
        <w:numPr>
          <w:ilvl w:val="0"/>
          <w:numId w:val="5"/>
        </w:numPr>
        <w:spacing w:before="0" w:after="0" w:line="360" w:lineRule="auto"/>
        <w:ind w:left="1094" w:hanging="357"/>
        <w:rPr>
          <w:rFonts w:ascii="Calibri" w:hAnsi="Calibri" w:cs="Calibri"/>
          <w:color w:val="000000"/>
        </w:rPr>
      </w:pPr>
      <w:r w:rsidRPr="000C350B">
        <w:rPr>
          <w:rFonts w:ascii="Calibri" w:hAnsi="Calibri" w:cs="Calibri"/>
          <w:color w:val="000000"/>
        </w:rPr>
        <w:t>What safeguards (if any) are appropriate for covert operations</w:t>
      </w:r>
      <w:r w:rsidR="00045CDA">
        <w:rPr>
          <w:rFonts w:ascii="Calibri" w:hAnsi="Calibri" w:cs="Calibri"/>
          <w:color w:val="000000"/>
        </w:rPr>
        <w:t>?</w:t>
      </w:r>
    </w:p>
    <w:p w14:paraId="4FAFBB3F" w14:textId="2DE72130" w:rsidR="00D6675A" w:rsidRPr="000C350B" w:rsidRDefault="00D6675A" w:rsidP="00045CDA">
      <w:pPr>
        <w:numPr>
          <w:ilvl w:val="0"/>
          <w:numId w:val="5"/>
        </w:numPr>
        <w:spacing w:before="0" w:after="0" w:line="360" w:lineRule="auto"/>
        <w:ind w:left="1094" w:hanging="357"/>
        <w:rPr>
          <w:rFonts w:ascii="Calibri" w:hAnsi="Calibri" w:cs="Calibri"/>
          <w:color w:val="000000"/>
        </w:rPr>
      </w:pPr>
      <w:r w:rsidRPr="000C350B">
        <w:rPr>
          <w:rFonts w:ascii="Calibri" w:hAnsi="Calibri" w:cs="Calibri"/>
          <w:color w:val="000000"/>
        </w:rPr>
        <w:t xml:space="preserve">How to support communities to engage meaningfully with future engagement on the review, including what topics are of most interest, and how to keep in touch with communities about search and surveillance issues after the review is complete. </w:t>
      </w:r>
    </w:p>
    <w:p w14:paraId="4883F01D" w14:textId="191928EF" w:rsidR="00BF5268" w:rsidRPr="000A3200" w:rsidRDefault="00D6675A" w:rsidP="000A3200">
      <w:pPr>
        <w:pStyle w:val="NormalWeb"/>
        <w:spacing w:before="0" w:after="0" w:line="360" w:lineRule="atLeast"/>
        <w:ind w:left="720"/>
        <w:rPr>
          <w:rFonts w:ascii="Calibri" w:hAnsi="Calibri" w:cs="Calibri"/>
          <w:sz w:val="22"/>
          <w:szCs w:val="22"/>
        </w:rPr>
      </w:pPr>
      <w:r w:rsidRPr="000A3200">
        <w:rPr>
          <w:rFonts w:ascii="Calibri" w:hAnsi="Calibri" w:cs="Calibri"/>
          <w:sz w:val="22"/>
          <w:szCs w:val="22"/>
        </w:rPr>
        <w:t>The</w:t>
      </w:r>
      <w:r w:rsidRPr="000C350B">
        <w:rPr>
          <w:rFonts w:ascii="Calibri" w:hAnsi="Calibri" w:cs="Calibri"/>
          <w:color w:val="000000"/>
          <w:sz w:val="22"/>
          <w:szCs w:val="22"/>
        </w:rPr>
        <w:t xml:space="preserve"> next phase of the review will involve wider public engagement on any proposed reforms</w:t>
      </w:r>
      <w:r w:rsidR="000C350B">
        <w:rPr>
          <w:rFonts w:ascii="Calibri" w:hAnsi="Calibri" w:cs="Calibri"/>
          <w:color w:val="000000"/>
          <w:sz w:val="22"/>
          <w:szCs w:val="22"/>
        </w:rPr>
        <w:t xml:space="preserve"> and is </w:t>
      </w:r>
      <w:r w:rsidRPr="000C350B">
        <w:rPr>
          <w:rFonts w:ascii="Calibri" w:hAnsi="Calibri" w:cs="Calibri"/>
          <w:color w:val="000000"/>
          <w:sz w:val="22"/>
          <w:szCs w:val="22"/>
        </w:rPr>
        <w:t>likely to commence in late 2022.</w:t>
      </w:r>
      <w:r w:rsidR="00045CDA">
        <w:rPr>
          <w:rFonts w:ascii="Calibri" w:hAnsi="Calibri" w:cs="Calibri"/>
          <w:color w:val="000000"/>
          <w:sz w:val="22"/>
          <w:szCs w:val="22"/>
        </w:rPr>
        <w:t xml:space="preserve">  </w:t>
      </w:r>
      <w:r w:rsidR="000C350B" w:rsidRPr="000C350B">
        <w:rPr>
          <w:rFonts w:ascii="Calibri" w:hAnsi="Calibri" w:cs="Calibri"/>
          <w:color w:val="000000"/>
          <w:sz w:val="22"/>
          <w:szCs w:val="22"/>
        </w:rPr>
        <w:t xml:space="preserve">You can find out more about the review by clicking this </w:t>
      </w:r>
      <w:hyperlink r:id="rId12" w:history="1">
        <w:r w:rsidR="000C350B" w:rsidRPr="000C350B">
          <w:rPr>
            <w:rStyle w:val="Hyperlink"/>
            <w:rFonts w:ascii="Calibri" w:hAnsi="Calibri" w:cs="Calibri"/>
            <w:sz w:val="22"/>
            <w:szCs w:val="22"/>
          </w:rPr>
          <w:t>link</w:t>
        </w:r>
      </w:hyperlink>
      <w:r w:rsidR="000C350B" w:rsidRPr="000C350B">
        <w:rPr>
          <w:rFonts w:ascii="Calibri" w:hAnsi="Calibri" w:cs="Calibri"/>
          <w:sz w:val="22"/>
          <w:szCs w:val="22"/>
        </w:rPr>
        <w:t>.</w:t>
      </w:r>
    </w:p>
    <w:p w14:paraId="791DB78F" w14:textId="6CC09AEF" w:rsidR="005C4E13" w:rsidRPr="00A97DA3" w:rsidRDefault="005C4E13" w:rsidP="00045CDA">
      <w:pPr>
        <w:pStyle w:val="Heading2"/>
        <w:numPr>
          <w:ilvl w:val="0"/>
          <w:numId w:val="0"/>
        </w:numPr>
        <w:spacing w:line="276" w:lineRule="auto"/>
        <w:rPr>
          <w:color w:val="auto"/>
        </w:rPr>
      </w:pPr>
      <w:r w:rsidRPr="00A97DA3">
        <w:rPr>
          <w:color w:val="auto"/>
        </w:rPr>
        <w:t>Other information</w:t>
      </w:r>
    </w:p>
    <w:p w14:paraId="0EF9329D" w14:textId="2B90BA95" w:rsidR="00674DBE" w:rsidRDefault="00674DBE" w:rsidP="00045CDA">
      <w:pPr>
        <w:pStyle w:val="Heading2"/>
        <w:numPr>
          <w:ilvl w:val="0"/>
          <w:numId w:val="2"/>
        </w:numPr>
        <w:spacing w:line="360" w:lineRule="atLeast"/>
      </w:pPr>
      <w:r w:rsidRPr="00A97DA3">
        <w:t>Coroner rel</w:t>
      </w:r>
      <w:r w:rsidR="00A97DA3" w:rsidRPr="00A97DA3">
        <w:t>eases decision on scope of Inquiry</w:t>
      </w:r>
    </w:p>
    <w:p w14:paraId="4BFBEB0E" w14:textId="1A755586" w:rsidR="00A97DA3" w:rsidRDefault="00A97DA3" w:rsidP="00A97DA3">
      <w:pPr>
        <w:ind w:left="720"/>
      </w:pPr>
      <w:r>
        <w:t xml:space="preserve">This morning Coroner Windley issued her decision on the scope of the coronial inquiry into the Christchurch masjidain attack. </w:t>
      </w:r>
    </w:p>
    <w:p w14:paraId="7B128C0D" w14:textId="77777777" w:rsidR="00A97DA3" w:rsidRDefault="00A97DA3" w:rsidP="00A97DA3">
      <w:pPr>
        <w:ind w:left="720"/>
      </w:pPr>
      <w:r>
        <w:t>Issues in scope of her inquiry include:</w:t>
      </w:r>
    </w:p>
    <w:p w14:paraId="57FD72BE" w14:textId="77777777" w:rsidR="00A97DA3" w:rsidRPr="000A3200" w:rsidRDefault="00A97DA3" w:rsidP="000A3200">
      <w:pPr>
        <w:numPr>
          <w:ilvl w:val="0"/>
          <w:numId w:val="5"/>
        </w:numPr>
        <w:spacing w:before="0" w:after="0" w:line="360" w:lineRule="auto"/>
        <w:ind w:left="1094" w:hanging="357"/>
        <w:rPr>
          <w:rFonts w:ascii="Calibri" w:hAnsi="Calibri" w:cs="Calibri"/>
          <w:color w:val="000000"/>
        </w:rPr>
      </w:pPr>
      <w:r>
        <w:t xml:space="preserve">The </w:t>
      </w:r>
      <w:r w:rsidRPr="000A3200">
        <w:rPr>
          <w:rFonts w:ascii="Calibri" w:hAnsi="Calibri" w:cs="Calibri"/>
          <w:color w:val="000000"/>
        </w:rPr>
        <w:t>cause(s) of death for each of the 51 people who died as a result of the attack.</w:t>
      </w:r>
    </w:p>
    <w:p w14:paraId="31C91D19" w14:textId="1AB670CE" w:rsidR="00A97DA3" w:rsidRPr="000A3200" w:rsidRDefault="00A97DA3" w:rsidP="000A3200">
      <w:pPr>
        <w:numPr>
          <w:ilvl w:val="0"/>
          <w:numId w:val="5"/>
        </w:numPr>
        <w:spacing w:before="0" w:after="0" w:line="360" w:lineRule="auto"/>
        <w:ind w:left="1094" w:hanging="357"/>
      </w:pPr>
      <w:r w:rsidRPr="000A3200">
        <w:t xml:space="preserve">The events of 15 March 2019 starting from the commencement of the attack through to the completion of the emergency response and Mr Tarrant’s formal interview by Police. Issues for investigation within this timeframe will include whether Mr Tarrant had any direct assistance from other people that day, the emergency response efforts, and whether any aspect of that response may have affected the ability of any of the deceased to survive their injuries. </w:t>
      </w:r>
    </w:p>
    <w:p w14:paraId="300DC9AC" w14:textId="77777777" w:rsidR="00A97DA3" w:rsidRPr="000A3200" w:rsidRDefault="00A97DA3" w:rsidP="000A3200">
      <w:pPr>
        <w:numPr>
          <w:ilvl w:val="0"/>
          <w:numId w:val="5"/>
        </w:numPr>
        <w:spacing w:before="0" w:after="0" w:line="360" w:lineRule="auto"/>
        <w:ind w:left="1094" w:hanging="357"/>
        <w:rPr>
          <w:rFonts w:ascii="Calibri" w:hAnsi="Calibri" w:cs="Calibri"/>
          <w:color w:val="000000"/>
        </w:rPr>
      </w:pPr>
      <w:r w:rsidRPr="000A3200">
        <w:rPr>
          <w:rFonts w:ascii="Calibri" w:hAnsi="Calibri" w:cs="Calibri"/>
          <w:color w:val="000000"/>
        </w:rPr>
        <w:t xml:space="preserve">The process by which Mr Tarrant acquired a firearms licence, whether the licence can be linked to the attack, and whether any identified deficiencies in that process have now been addressed by way of legislative amendments or process changes. </w:t>
      </w:r>
    </w:p>
    <w:p w14:paraId="3A50666D" w14:textId="77777777" w:rsidR="00A97DA3" w:rsidRPr="000A3200" w:rsidRDefault="00A97DA3" w:rsidP="000A3200">
      <w:pPr>
        <w:numPr>
          <w:ilvl w:val="0"/>
          <w:numId w:val="5"/>
        </w:numPr>
        <w:spacing w:before="0" w:after="0" w:line="360" w:lineRule="auto"/>
        <w:ind w:left="1094" w:hanging="357"/>
        <w:rPr>
          <w:rFonts w:ascii="Calibri" w:hAnsi="Calibri" w:cs="Calibri"/>
          <w:color w:val="000000"/>
        </w:rPr>
      </w:pPr>
      <w:r w:rsidRPr="000A3200">
        <w:rPr>
          <w:rFonts w:ascii="Calibri" w:hAnsi="Calibri" w:cs="Calibri"/>
          <w:color w:val="000000"/>
        </w:rPr>
        <w:lastRenderedPageBreak/>
        <w:t>Whether Mr Tarrant’s online activity can be shown to have played a material role in his radicalisation with a particular focus on the period between 2014 and 2017. If so, consideration will be given to examining the extent of monitoring of users for extremist content by the relevant platform(s), then and now.</w:t>
      </w:r>
    </w:p>
    <w:p w14:paraId="08365659" w14:textId="55FBDCBF" w:rsidR="00A97DA3" w:rsidRDefault="00A97DA3" w:rsidP="000A3200">
      <w:pPr>
        <w:numPr>
          <w:ilvl w:val="0"/>
          <w:numId w:val="5"/>
        </w:numPr>
        <w:spacing w:before="0" w:after="0" w:line="360" w:lineRule="auto"/>
        <w:ind w:left="1094" w:hanging="357"/>
      </w:pPr>
      <w:r w:rsidRPr="000A3200">
        <w:rPr>
          <w:rFonts w:ascii="Calibri" w:hAnsi="Calibri" w:cs="Calibri"/>
          <w:color w:val="000000"/>
        </w:rPr>
        <w:t>The community’s</w:t>
      </w:r>
      <w:r>
        <w:t xml:space="preserve"> ability to detect and respond to the risk of violent extremism in others.</w:t>
      </w:r>
    </w:p>
    <w:p w14:paraId="17BFCD46" w14:textId="2BB50EC5" w:rsidR="00A97DA3" w:rsidRPr="00A97DA3" w:rsidRDefault="00A97DA3" w:rsidP="00634DB7">
      <w:pPr>
        <w:ind w:left="720"/>
      </w:pPr>
      <w:r>
        <w:t>The Inquiry will now move into the substantive inquiry phase</w:t>
      </w:r>
      <w:r w:rsidR="007B414F">
        <w:t xml:space="preserve">.  </w:t>
      </w:r>
      <w:r>
        <w:t xml:space="preserve">No date has been set for the inquest hearing.  </w:t>
      </w:r>
      <w:r w:rsidRPr="00A97DA3">
        <w:t xml:space="preserve">More information </w:t>
      </w:r>
      <w:r w:rsidR="007B414F">
        <w:t xml:space="preserve">about the Inquiry is </w:t>
      </w:r>
      <w:r w:rsidRPr="00A97DA3">
        <w:t xml:space="preserve">available on the Coronial webpage by clicking this </w:t>
      </w:r>
      <w:hyperlink r:id="rId13" w:history="1">
        <w:r w:rsidRPr="00A97DA3">
          <w:rPr>
            <w:rStyle w:val="Hyperlink"/>
          </w:rPr>
          <w:t>link</w:t>
        </w:r>
      </w:hyperlink>
      <w:r w:rsidRPr="00A97DA3">
        <w:t>.</w:t>
      </w:r>
      <w:r>
        <w:t xml:space="preserve"> </w:t>
      </w:r>
    </w:p>
    <w:p w14:paraId="3B2D245D" w14:textId="5ACD3F10" w:rsidR="00BE0FA9" w:rsidRDefault="00BE0FA9" w:rsidP="00045CDA">
      <w:pPr>
        <w:pStyle w:val="Heading2"/>
        <w:numPr>
          <w:ilvl w:val="0"/>
          <w:numId w:val="2"/>
        </w:numPr>
        <w:spacing w:line="360" w:lineRule="atLeast"/>
      </w:pPr>
      <w:r>
        <w:t xml:space="preserve">International report shows social media platforms </w:t>
      </w:r>
      <w:r w:rsidR="000F4181">
        <w:t xml:space="preserve">are </w:t>
      </w:r>
      <w:r>
        <w:t xml:space="preserve">failing to act when anti-Muslim hate speech </w:t>
      </w:r>
      <w:r w:rsidR="000F4181">
        <w:t xml:space="preserve">is </w:t>
      </w:r>
      <w:r>
        <w:t>posted online</w:t>
      </w:r>
    </w:p>
    <w:p w14:paraId="2FE2D431" w14:textId="7B79A6AA" w:rsidR="00BE0FA9" w:rsidRPr="00BE0FA9" w:rsidRDefault="00BE0FA9" w:rsidP="00045CDA">
      <w:pPr>
        <w:pStyle w:val="ListParagraph"/>
        <w:shd w:val="clear" w:color="auto" w:fill="FFFFFF"/>
        <w:spacing w:before="180" w:after="180" w:line="360" w:lineRule="atLeast"/>
        <w:textAlignment w:val="baseline"/>
        <w:rPr>
          <w:rFonts w:cstheme="minorHAnsi"/>
          <w:color w:val="404441"/>
          <w:spacing w:val="1"/>
          <w:lang w:eastAsia="en-NZ"/>
        </w:rPr>
      </w:pPr>
      <w:r>
        <w:rPr>
          <w:rFonts w:cstheme="minorHAnsi"/>
          <w:color w:val="404441"/>
          <w:spacing w:val="1"/>
          <w:lang w:eastAsia="en-NZ"/>
        </w:rPr>
        <w:t xml:space="preserve">Research from </w:t>
      </w:r>
      <w:r w:rsidRPr="00BE0FA9">
        <w:rPr>
          <w:rFonts w:cstheme="minorHAnsi"/>
          <w:color w:val="404441"/>
          <w:spacing w:val="1"/>
          <w:lang w:eastAsia="en-NZ"/>
        </w:rPr>
        <w:t xml:space="preserve">the American non-profit organisation, the </w:t>
      </w:r>
      <w:proofErr w:type="spellStart"/>
      <w:r w:rsidRPr="00BE0FA9">
        <w:rPr>
          <w:rFonts w:cstheme="minorHAnsi"/>
          <w:color w:val="404441"/>
          <w:spacing w:val="1"/>
          <w:lang w:eastAsia="en-NZ"/>
        </w:rPr>
        <w:t>Center</w:t>
      </w:r>
      <w:proofErr w:type="spellEnd"/>
      <w:r w:rsidRPr="00BE0FA9">
        <w:rPr>
          <w:rFonts w:cstheme="minorHAnsi"/>
          <w:color w:val="404441"/>
          <w:spacing w:val="1"/>
          <w:lang w:eastAsia="en-NZ"/>
        </w:rPr>
        <w:t xml:space="preserve"> for Countering Digital Hate</w:t>
      </w:r>
      <w:r w:rsidR="000F4181">
        <w:rPr>
          <w:rFonts w:cstheme="minorHAnsi"/>
          <w:color w:val="404441"/>
          <w:spacing w:val="1"/>
          <w:lang w:eastAsia="en-NZ"/>
        </w:rPr>
        <w:t>,</w:t>
      </w:r>
      <w:r w:rsidRPr="00BE0FA9">
        <w:rPr>
          <w:rFonts w:cstheme="minorHAnsi"/>
          <w:color w:val="404441"/>
          <w:spacing w:val="1"/>
          <w:lang w:eastAsia="en-NZ"/>
        </w:rPr>
        <w:t xml:space="preserve"> has found that social media platforms</w:t>
      </w:r>
      <w:r>
        <w:rPr>
          <w:rFonts w:cstheme="minorHAnsi"/>
          <w:color w:val="404441"/>
          <w:spacing w:val="1"/>
          <w:lang w:eastAsia="en-NZ"/>
        </w:rPr>
        <w:t>, including Facebook, Instagram, TikTok, Twitter and YouTube</w:t>
      </w:r>
      <w:r w:rsidRPr="00BE0FA9">
        <w:rPr>
          <w:rFonts w:cstheme="minorHAnsi"/>
          <w:color w:val="404441"/>
          <w:spacing w:val="1"/>
          <w:lang w:eastAsia="en-NZ"/>
        </w:rPr>
        <w:t xml:space="preserve"> collectively failed to act on 89 percent of posts containing anti-Muslim hatred and Islamophobia, even after they were reported to moderators.</w:t>
      </w:r>
      <w:r>
        <w:rPr>
          <w:rFonts w:cstheme="minorHAnsi"/>
          <w:color w:val="404441"/>
          <w:spacing w:val="1"/>
          <w:lang w:eastAsia="en-NZ"/>
        </w:rPr>
        <w:t xml:space="preserve"> </w:t>
      </w:r>
      <w:r w:rsidR="000F4181">
        <w:rPr>
          <w:rFonts w:cstheme="minorHAnsi"/>
          <w:color w:val="404441"/>
          <w:spacing w:val="1"/>
          <w:lang w:eastAsia="en-NZ"/>
        </w:rPr>
        <w:t xml:space="preserve"> </w:t>
      </w:r>
      <w:r>
        <w:rPr>
          <w:rFonts w:cstheme="minorHAnsi"/>
          <w:color w:val="404441"/>
          <w:spacing w:val="1"/>
          <w:lang w:eastAsia="en-NZ"/>
        </w:rPr>
        <w:t xml:space="preserve">The </w:t>
      </w:r>
      <w:r w:rsidR="000F4181">
        <w:rPr>
          <w:rFonts w:cstheme="minorHAnsi"/>
          <w:color w:val="404441"/>
          <w:spacing w:val="1"/>
          <w:lang w:eastAsia="en-NZ"/>
        </w:rPr>
        <w:t>R</w:t>
      </w:r>
      <w:r>
        <w:rPr>
          <w:rFonts w:cstheme="minorHAnsi"/>
          <w:color w:val="404441"/>
          <w:spacing w:val="1"/>
          <w:lang w:eastAsia="en-NZ"/>
        </w:rPr>
        <w:t xml:space="preserve">eport can be read by clicking this </w:t>
      </w:r>
      <w:hyperlink r:id="rId14" w:history="1">
        <w:r>
          <w:rPr>
            <w:rStyle w:val="Hyperlink"/>
          </w:rPr>
          <w:t>link</w:t>
        </w:r>
      </w:hyperlink>
      <w:r>
        <w:t>.</w:t>
      </w:r>
    </w:p>
    <w:p w14:paraId="3C7F4D53" w14:textId="357095BC" w:rsidR="00845960" w:rsidRDefault="007629DE" w:rsidP="00045CDA">
      <w:pPr>
        <w:pStyle w:val="Heading2"/>
        <w:numPr>
          <w:ilvl w:val="0"/>
          <w:numId w:val="2"/>
        </w:numPr>
      </w:pPr>
      <w:r>
        <w:t>Government launches Employment Action Plan for ethnic communities</w:t>
      </w:r>
    </w:p>
    <w:p w14:paraId="08789437" w14:textId="1142E466" w:rsidR="007629DE" w:rsidRDefault="007629DE" w:rsidP="00045CDA">
      <w:pPr>
        <w:pStyle w:val="ListParagraph"/>
        <w:shd w:val="clear" w:color="auto" w:fill="FFFFFF"/>
        <w:spacing w:before="0" w:after="180" w:line="360" w:lineRule="atLeast"/>
        <w:textAlignment w:val="baseline"/>
      </w:pPr>
      <w:r>
        <w:t xml:space="preserve">On 25 March, the Government launched the </w:t>
      </w:r>
      <w:r w:rsidRPr="00045CDA">
        <w:t>Former</w:t>
      </w:r>
      <w:r>
        <w:t xml:space="preserve"> Refugees, Recent Migrants and Ethnic Communities Employment Action Plan. </w:t>
      </w:r>
      <w:r w:rsidR="000F4181">
        <w:t xml:space="preserve"> </w:t>
      </w:r>
      <w:r>
        <w:t xml:space="preserve">The Plan is designed to help remove barriers to succeed in the labour market and boost employment outcomes.  It brings together current and planned programmes of work across Government to provide better support for these groups to develop their skills, gain work experience and move into more sustainable and rewarding work, while reducing their chances of experiencing negative employment outcomes.  In launching the </w:t>
      </w:r>
      <w:r w:rsidR="00045CDA">
        <w:t>p</w:t>
      </w:r>
      <w:r>
        <w:t xml:space="preserve">lan, the Government noted some of the challenges raised by people from these communities including struggling to find work they are well qualified for; being paid significantly less than counterparts from other ethnicities; cultural and language barriers and the discrimination that impacts initial recruitment and career progression.  The Plan also includes actions to promote the value of diversity to the private sector, and tailor government support so that it better suits the needs of these groups.  You can read the Plan by clicking this </w:t>
      </w:r>
      <w:hyperlink r:id="rId15" w:history="1">
        <w:r>
          <w:rPr>
            <w:rStyle w:val="Hyperlink"/>
          </w:rPr>
          <w:t>link</w:t>
        </w:r>
      </w:hyperlink>
      <w:r>
        <w:t>.</w:t>
      </w:r>
    </w:p>
    <w:p w14:paraId="5FD4E955" w14:textId="6F345CF6" w:rsidR="005C4E13" w:rsidRDefault="00653210" w:rsidP="00045CDA">
      <w:pPr>
        <w:pStyle w:val="Heading2"/>
        <w:numPr>
          <w:ilvl w:val="0"/>
          <w:numId w:val="0"/>
        </w:numPr>
        <w:spacing w:line="276" w:lineRule="auto"/>
        <w:rPr>
          <w:color w:val="auto"/>
        </w:rPr>
      </w:pPr>
      <w:r>
        <w:rPr>
          <w:color w:val="auto"/>
        </w:rPr>
        <w:lastRenderedPageBreak/>
        <w:t>In the comm</w:t>
      </w:r>
      <w:r w:rsidR="005C4E13">
        <w:rPr>
          <w:color w:val="auto"/>
        </w:rPr>
        <w:t>unity</w:t>
      </w:r>
    </w:p>
    <w:p w14:paraId="060850ED" w14:textId="3BD5F3BD" w:rsidR="005C4E13" w:rsidRDefault="005C4E13" w:rsidP="00045CDA">
      <w:pPr>
        <w:pStyle w:val="Heading2"/>
        <w:numPr>
          <w:ilvl w:val="0"/>
          <w:numId w:val="3"/>
        </w:numPr>
        <w:spacing w:line="276" w:lineRule="auto"/>
      </w:pPr>
      <w:bookmarkStart w:id="4" w:name="_Hlk97727475"/>
      <w:r>
        <w:t xml:space="preserve">Dates of significance </w:t>
      </w:r>
    </w:p>
    <w:p w14:paraId="7810067B" w14:textId="17D855EB" w:rsidR="00004B8E" w:rsidRDefault="00004B8E" w:rsidP="00045CDA">
      <w:pPr>
        <w:ind w:left="717"/>
      </w:pPr>
      <w:r w:rsidRPr="00EF5BD2">
        <w:t xml:space="preserve">There are a number of dates of significance to New Zealand’s diverse communities in </w:t>
      </w:r>
      <w:r w:rsidR="007629DE" w:rsidRPr="00EF5BD2">
        <w:t xml:space="preserve">May </w:t>
      </w:r>
      <w:r w:rsidR="00E11735" w:rsidRPr="00EF5BD2">
        <w:t>including</w:t>
      </w:r>
      <w:r w:rsidR="00EF5BD2" w:rsidRPr="00EF5BD2">
        <w:t xml:space="preserve"> Eid al-Fitr</w:t>
      </w:r>
      <w:r w:rsidR="002712A2">
        <w:t xml:space="preserve"> on 2-3 May</w:t>
      </w:r>
      <w:r w:rsidR="00EF5BD2" w:rsidRPr="00EF5BD2">
        <w:t xml:space="preserve"> which marks the end of Ramad</w:t>
      </w:r>
      <w:r w:rsidR="00EF5BD2">
        <w:t>h</w:t>
      </w:r>
      <w:r w:rsidR="00EF5BD2" w:rsidRPr="00EF5BD2">
        <w:t>an, Wesak on 6 May which commemorates the birth, enlightenment and death of the Buddha</w:t>
      </w:r>
      <w:r w:rsidR="002712A2">
        <w:t>,</w:t>
      </w:r>
      <w:r w:rsidR="00E11735" w:rsidRPr="00EF5BD2">
        <w:t xml:space="preserve"> 17 May marking the International Day Against Homophobia and Transphobia</w:t>
      </w:r>
      <w:r w:rsidR="002712A2">
        <w:t>,</w:t>
      </w:r>
      <w:r w:rsidR="00EF5BD2" w:rsidRPr="00EF5BD2">
        <w:t xml:space="preserve"> and 22 May is the United </w:t>
      </w:r>
      <w:r w:rsidR="002712A2">
        <w:t>N</w:t>
      </w:r>
      <w:r w:rsidR="00EF5BD2" w:rsidRPr="00EF5BD2">
        <w:t>ations World Day for Cultural Diversity.</w:t>
      </w:r>
    </w:p>
    <w:bookmarkEnd w:id="4"/>
    <w:p w14:paraId="074194B7" w14:textId="77777777" w:rsidR="00AA7F67" w:rsidRDefault="00AA7F67" w:rsidP="00045CDA">
      <w:pPr>
        <w:spacing w:after="160"/>
        <w:ind w:left="0"/>
        <w:contextualSpacing/>
        <w:rPr>
          <w:lang w:eastAsia="en-NZ"/>
        </w:rPr>
      </w:pPr>
    </w:p>
    <w:p w14:paraId="43E22D58" w14:textId="5549B214" w:rsidR="005C4E13" w:rsidRDefault="005C4E13" w:rsidP="00045CDA">
      <w:pPr>
        <w:spacing w:after="160"/>
        <w:ind w:left="0"/>
        <w:contextualSpacing/>
        <w:rPr>
          <w:lang w:eastAsia="en-NZ"/>
        </w:rPr>
      </w:pPr>
      <w:r>
        <w:rPr>
          <w:lang w:eastAsia="en-NZ"/>
        </w:rPr>
        <w:t xml:space="preserve">Noho ora mai </w:t>
      </w:r>
    </w:p>
    <w:p w14:paraId="2B922AF4" w14:textId="1201AF57" w:rsidR="0085521A" w:rsidRPr="000B32C0" w:rsidRDefault="005C4E13" w:rsidP="00045CDA">
      <w:pPr>
        <w:spacing w:after="160"/>
        <w:ind w:left="0"/>
        <w:rPr>
          <w:b/>
          <w:bCs/>
          <w:lang w:eastAsia="en-NZ"/>
        </w:rPr>
      </w:pPr>
      <w:r>
        <w:rPr>
          <w:b/>
          <w:bCs/>
          <w:lang w:eastAsia="en-NZ"/>
        </w:rPr>
        <w:t>The Kāpuia Secretariat</w:t>
      </w:r>
      <w:bookmarkEnd w:id="0"/>
    </w:p>
    <w:sectPr w:rsidR="0085521A" w:rsidRPr="000B32C0" w:rsidSect="005C449B">
      <w:headerReference w:type="even" r:id="rId16"/>
      <w:headerReference w:type="default" r:id="rId17"/>
      <w:footerReference w:type="default" r:id="rId18"/>
      <w:headerReference w:type="first" r:id="rId19"/>
      <w:footerReference w:type="first" r:id="rId20"/>
      <w:pgSz w:w="12240" w:h="15840"/>
      <w:pgMar w:top="1440" w:right="1440" w:bottom="1418" w:left="144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AD06A" w14:textId="77777777" w:rsidR="00132B13" w:rsidRDefault="00132B13" w:rsidP="00353707">
      <w:r>
        <w:separator/>
      </w:r>
    </w:p>
    <w:p w14:paraId="51EA7B40" w14:textId="77777777" w:rsidR="00132B13" w:rsidRDefault="00132B13"/>
  </w:endnote>
  <w:endnote w:type="continuationSeparator" w:id="0">
    <w:p w14:paraId="7CC1032D" w14:textId="77777777" w:rsidR="00132B13" w:rsidRDefault="00132B13" w:rsidP="00353707">
      <w:r>
        <w:continuationSeparator/>
      </w:r>
    </w:p>
    <w:p w14:paraId="13A3CA2A" w14:textId="77777777" w:rsidR="00132B13" w:rsidRDefault="00132B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4507F" w14:textId="77777777" w:rsidR="00B52158" w:rsidRDefault="00C41446" w:rsidP="00353707">
    <w:pPr>
      <w:pStyle w:val="Footer"/>
    </w:pPr>
    <w:r>
      <w:t xml:space="preserve">Page </w:t>
    </w:r>
    <w:r>
      <w:fldChar w:fldCharType="begin"/>
    </w:r>
    <w:r>
      <w:instrText xml:space="preserve"> PAGE </w:instrText>
    </w:r>
    <w:r>
      <w:fldChar w:fldCharType="separate"/>
    </w:r>
    <w:r>
      <w:rPr>
        <w:noProof/>
      </w:rPr>
      <w:t>2</w:t>
    </w:r>
    <w:r>
      <w:fldChar w:fldCharType="end"/>
    </w:r>
    <w:r>
      <w:t xml:space="preserve"> of </w:t>
    </w:r>
    <w:r w:rsidR="00542AB5">
      <w:fldChar w:fldCharType="begin"/>
    </w:r>
    <w:r w:rsidR="00542AB5">
      <w:instrText xml:space="preserve"> NUMPAGES  </w:instrText>
    </w:r>
    <w:r w:rsidR="00542AB5">
      <w:fldChar w:fldCharType="separate"/>
    </w:r>
    <w:r>
      <w:rPr>
        <w:noProof/>
      </w:rPr>
      <w:t>2</w:t>
    </w:r>
    <w:r w:rsidR="00542AB5">
      <w:rPr>
        <w:noProof/>
      </w:rPr>
      <w:fldChar w:fldCharType="end"/>
    </w:r>
  </w:p>
  <w:p w14:paraId="3FF6EB5F" w14:textId="77777777" w:rsidR="007718E0" w:rsidRDefault="007718E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703267"/>
      <w:docPartObj>
        <w:docPartGallery w:val="Page Numbers (Bottom of Page)"/>
        <w:docPartUnique/>
      </w:docPartObj>
    </w:sdtPr>
    <w:sdtEndPr>
      <w:rPr>
        <w:noProof/>
      </w:rPr>
    </w:sdtEndPr>
    <w:sdtContent>
      <w:p w14:paraId="1C06DF5F" w14:textId="69A89821" w:rsidR="005C449B" w:rsidRDefault="005C449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CFD23A" w14:textId="77777777" w:rsidR="007718E0" w:rsidRDefault="007718E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12089" w14:textId="77777777" w:rsidR="00132B13" w:rsidRDefault="00132B13" w:rsidP="00353707">
      <w:r>
        <w:separator/>
      </w:r>
    </w:p>
    <w:p w14:paraId="3A79DFE4" w14:textId="77777777" w:rsidR="00132B13" w:rsidRDefault="00132B13"/>
  </w:footnote>
  <w:footnote w:type="continuationSeparator" w:id="0">
    <w:p w14:paraId="3A6DD98F" w14:textId="77777777" w:rsidR="00132B13" w:rsidRDefault="00132B13" w:rsidP="00353707">
      <w:r>
        <w:continuationSeparator/>
      </w:r>
    </w:p>
    <w:p w14:paraId="2340287B" w14:textId="77777777" w:rsidR="00132B13" w:rsidRDefault="00132B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437D4" w14:textId="77777777" w:rsidR="00B52158" w:rsidRDefault="00542AB5" w:rsidP="00353707">
    <w:pPr>
      <w:pStyle w:val="Header"/>
    </w:pPr>
    <w:r>
      <w:rPr>
        <w:noProof/>
      </w:rPr>
      <w:pict w14:anchorId="4A16B2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227094" o:spid="_x0000_s2049" type="#_x0000_t136" style="position:absolute;left:0;text-align:left;margin-left:0;margin-top:0;width:412.4pt;height:247.45pt;rotation:315;z-index:-251659264;mso-position-horizontal:center;mso-position-horizontal-relative:margin;mso-position-vertical:center;mso-position-vertical-relative:margin" o:allowincell="f" fillcolor="silver" stroked="f">
          <v:fill opacity=".5"/>
          <v:textpath style="font-family:&quot;Calibri&quot;;font-size:1pt" string="Kāpuia "/>
          <w10:wrap anchorx="margin" anchory="margin"/>
        </v:shape>
      </w:pict>
    </w:r>
  </w:p>
  <w:p w14:paraId="4AC02D5D" w14:textId="77777777" w:rsidR="007718E0" w:rsidRDefault="007718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0BF4" w14:textId="77777777" w:rsidR="00666767" w:rsidRDefault="00542AB5" w:rsidP="00353707">
    <w:pPr>
      <w:pStyle w:val="Header"/>
    </w:pPr>
    <w:r>
      <w:rPr>
        <w:noProof/>
      </w:rPr>
      <w:pict w14:anchorId="63D08D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227095" o:spid="_x0000_s2050"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Kāpuia "/>
          <w10:wrap anchorx="margin" anchory="margin"/>
        </v:shape>
      </w:pict>
    </w:r>
  </w:p>
  <w:p w14:paraId="50316231" w14:textId="77777777" w:rsidR="007718E0" w:rsidRDefault="007718E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EE5B3" w14:textId="08A9E99C" w:rsidR="007718E0" w:rsidRDefault="00414C8B" w:rsidP="00D811C6">
    <w:pPr>
      <w:pStyle w:val="Header"/>
    </w:pPr>
    <w:r>
      <w:rPr>
        <w:noProof/>
      </w:rPr>
      <w:drawing>
        <wp:anchor distT="0" distB="0" distL="114300" distR="114300" simplePos="0" relativeHeight="251659264" behindDoc="0" locked="0" layoutInCell="1" allowOverlap="1" wp14:anchorId="52C30A5F" wp14:editId="22F4A455">
          <wp:simplePos x="0" y="0"/>
          <wp:positionH relativeFrom="column">
            <wp:posOffset>-374015</wp:posOffset>
          </wp:positionH>
          <wp:positionV relativeFrom="page">
            <wp:posOffset>389890</wp:posOffset>
          </wp:positionV>
          <wp:extent cx="3876675" cy="610870"/>
          <wp:effectExtent l="0" t="0" r="0" b="0"/>
          <wp:wrapTopAndBottom/>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6675" cy="6108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2AB5">
      <w:rPr>
        <w:noProof/>
      </w:rPr>
      <w:pict w14:anchorId="1F71C1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227093" o:spid="_x0000_s2052" type="#_x0000_t136" style="position:absolute;left:0;text-align:left;margin-left:0;margin-top:0;width:412.4pt;height:247.45pt;rotation:315;z-index:-251660288;mso-position-horizontal:center;mso-position-horizontal-relative:margin;mso-position-vertical:center;mso-position-vertical-relative:margin" o:allowincell="f" fillcolor="silver" stroked="f">
          <v:fill opacity=".5"/>
          <v:textpath style="font-family:&quot;Calibri&quot;;font-size:1pt" string="Kāpuia "/>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36D52"/>
    <w:multiLevelType w:val="hybridMultilevel"/>
    <w:tmpl w:val="896EC100"/>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 w15:restartNumberingAfterBreak="0">
    <w:nsid w:val="38D80424"/>
    <w:multiLevelType w:val="multilevel"/>
    <w:tmpl w:val="2350F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8F6637C"/>
    <w:multiLevelType w:val="multilevel"/>
    <w:tmpl w:val="A178E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5440ED"/>
    <w:multiLevelType w:val="hybridMultilevel"/>
    <w:tmpl w:val="27DA1D08"/>
    <w:lvl w:ilvl="0" w:tplc="14090001">
      <w:start w:val="1"/>
      <w:numFmt w:val="bullet"/>
      <w:lvlText w:val=""/>
      <w:lvlJc w:val="left"/>
      <w:pPr>
        <w:ind w:left="1077" w:hanging="360"/>
      </w:pPr>
      <w:rPr>
        <w:rFonts w:ascii="Symbol" w:hAnsi="Symbol" w:hint="default"/>
      </w:rPr>
    </w:lvl>
    <w:lvl w:ilvl="1" w:tplc="14090003" w:tentative="1">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4" w15:restartNumberingAfterBreak="0">
    <w:nsid w:val="423D6345"/>
    <w:multiLevelType w:val="hybridMultilevel"/>
    <w:tmpl w:val="B22269C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544C202F"/>
    <w:multiLevelType w:val="hybridMultilevel"/>
    <w:tmpl w:val="C3FC3F06"/>
    <w:lvl w:ilvl="0" w:tplc="138E8E7E">
      <w:start w:val="1"/>
      <w:numFmt w:val="decimal"/>
      <w:pStyle w:val="Heading2"/>
      <w:lvlText w:val="%1."/>
      <w:lvlJc w:val="left"/>
      <w:pPr>
        <w:ind w:left="360" w:hanging="360"/>
      </w:pPr>
      <w:rPr>
        <w:rFonts w:asciiTheme="minorHAnsi" w:eastAsiaTheme="minorEastAsia" w:hAnsiTheme="minorHAnsi" w:cs="Times New Roman" w:hint="default"/>
        <w:b/>
        <w:bCs/>
        <w:color w:val="408386"/>
      </w:rPr>
    </w:lvl>
    <w:lvl w:ilvl="1" w:tplc="14090019">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6" w15:restartNumberingAfterBreak="0">
    <w:nsid w:val="61443343"/>
    <w:multiLevelType w:val="hybridMultilevel"/>
    <w:tmpl w:val="AC3E4896"/>
    <w:lvl w:ilvl="0" w:tplc="7618DA78">
      <w:start w:val="7"/>
      <w:numFmt w:val="decimal"/>
      <w:lvlText w:val="%1."/>
      <w:lvlJc w:val="left"/>
      <w:pPr>
        <w:ind w:left="717" w:hanging="360"/>
      </w:pPr>
      <w:rPr>
        <w:rFonts w:hint="default"/>
      </w:rPr>
    </w:lvl>
    <w:lvl w:ilvl="1" w:tplc="14090019" w:tentative="1">
      <w:start w:val="1"/>
      <w:numFmt w:val="lowerLetter"/>
      <w:lvlText w:val="%2."/>
      <w:lvlJc w:val="left"/>
      <w:pPr>
        <w:ind w:left="1437" w:hanging="360"/>
      </w:pPr>
    </w:lvl>
    <w:lvl w:ilvl="2" w:tplc="1409001B" w:tentative="1">
      <w:start w:val="1"/>
      <w:numFmt w:val="lowerRoman"/>
      <w:lvlText w:val="%3."/>
      <w:lvlJc w:val="right"/>
      <w:pPr>
        <w:ind w:left="2157" w:hanging="180"/>
      </w:pPr>
    </w:lvl>
    <w:lvl w:ilvl="3" w:tplc="1409000F" w:tentative="1">
      <w:start w:val="1"/>
      <w:numFmt w:val="decimal"/>
      <w:lvlText w:val="%4."/>
      <w:lvlJc w:val="left"/>
      <w:pPr>
        <w:ind w:left="2877" w:hanging="360"/>
      </w:pPr>
    </w:lvl>
    <w:lvl w:ilvl="4" w:tplc="14090019" w:tentative="1">
      <w:start w:val="1"/>
      <w:numFmt w:val="lowerLetter"/>
      <w:lvlText w:val="%5."/>
      <w:lvlJc w:val="left"/>
      <w:pPr>
        <w:ind w:left="3597" w:hanging="360"/>
      </w:pPr>
    </w:lvl>
    <w:lvl w:ilvl="5" w:tplc="1409001B" w:tentative="1">
      <w:start w:val="1"/>
      <w:numFmt w:val="lowerRoman"/>
      <w:lvlText w:val="%6."/>
      <w:lvlJc w:val="right"/>
      <w:pPr>
        <w:ind w:left="4317" w:hanging="180"/>
      </w:pPr>
    </w:lvl>
    <w:lvl w:ilvl="6" w:tplc="1409000F" w:tentative="1">
      <w:start w:val="1"/>
      <w:numFmt w:val="decimal"/>
      <w:lvlText w:val="%7."/>
      <w:lvlJc w:val="left"/>
      <w:pPr>
        <w:ind w:left="5037" w:hanging="360"/>
      </w:pPr>
    </w:lvl>
    <w:lvl w:ilvl="7" w:tplc="14090019" w:tentative="1">
      <w:start w:val="1"/>
      <w:numFmt w:val="lowerLetter"/>
      <w:lvlText w:val="%8."/>
      <w:lvlJc w:val="left"/>
      <w:pPr>
        <w:ind w:left="5757" w:hanging="360"/>
      </w:pPr>
    </w:lvl>
    <w:lvl w:ilvl="8" w:tplc="1409001B" w:tentative="1">
      <w:start w:val="1"/>
      <w:numFmt w:val="lowerRoman"/>
      <w:lvlText w:val="%9."/>
      <w:lvlJc w:val="right"/>
      <w:pPr>
        <w:ind w:left="6477" w:hanging="180"/>
      </w:pPr>
    </w:lvl>
  </w:abstractNum>
  <w:abstractNum w:abstractNumId="7" w15:restartNumberingAfterBreak="0">
    <w:nsid w:val="6ACA1776"/>
    <w:multiLevelType w:val="hybridMultilevel"/>
    <w:tmpl w:val="73B67F6A"/>
    <w:lvl w:ilvl="0" w:tplc="14090001">
      <w:start w:val="1"/>
      <w:numFmt w:val="bullet"/>
      <w:lvlText w:val=""/>
      <w:lvlJc w:val="left"/>
      <w:pPr>
        <w:ind w:left="1437" w:hanging="360"/>
      </w:pPr>
      <w:rPr>
        <w:rFonts w:ascii="Symbol" w:hAnsi="Symbol" w:hint="default"/>
      </w:rPr>
    </w:lvl>
    <w:lvl w:ilvl="1" w:tplc="14090003" w:tentative="1">
      <w:start w:val="1"/>
      <w:numFmt w:val="bullet"/>
      <w:lvlText w:val="o"/>
      <w:lvlJc w:val="left"/>
      <w:pPr>
        <w:ind w:left="2157" w:hanging="360"/>
      </w:pPr>
      <w:rPr>
        <w:rFonts w:ascii="Courier New" w:hAnsi="Courier New" w:cs="Courier New" w:hint="default"/>
      </w:rPr>
    </w:lvl>
    <w:lvl w:ilvl="2" w:tplc="14090005" w:tentative="1">
      <w:start w:val="1"/>
      <w:numFmt w:val="bullet"/>
      <w:lvlText w:val=""/>
      <w:lvlJc w:val="left"/>
      <w:pPr>
        <w:ind w:left="2877" w:hanging="360"/>
      </w:pPr>
      <w:rPr>
        <w:rFonts w:ascii="Wingdings" w:hAnsi="Wingdings" w:hint="default"/>
      </w:rPr>
    </w:lvl>
    <w:lvl w:ilvl="3" w:tplc="14090001" w:tentative="1">
      <w:start w:val="1"/>
      <w:numFmt w:val="bullet"/>
      <w:lvlText w:val=""/>
      <w:lvlJc w:val="left"/>
      <w:pPr>
        <w:ind w:left="3597" w:hanging="360"/>
      </w:pPr>
      <w:rPr>
        <w:rFonts w:ascii="Symbol" w:hAnsi="Symbol" w:hint="default"/>
      </w:rPr>
    </w:lvl>
    <w:lvl w:ilvl="4" w:tplc="14090003" w:tentative="1">
      <w:start w:val="1"/>
      <w:numFmt w:val="bullet"/>
      <w:lvlText w:val="o"/>
      <w:lvlJc w:val="left"/>
      <w:pPr>
        <w:ind w:left="4317" w:hanging="360"/>
      </w:pPr>
      <w:rPr>
        <w:rFonts w:ascii="Courier New" w:hAnsi="Courier New" w:cs="Courier New" w:hint="default"/>
      </w:rPr>
    </w:lvl>
    <w:lvl w:ilvl="5" w:tplc="14090005" w:tentative="1">
      <w:start w:val="1"/>
      <w:numFmt w:val="bullet"/>
      <w:lvlText w:val=""/>
      <w:lvlJc w:val="left"/>
      <w:pPr>
        <w:ind w:left="5037" w:hanging="360"/>
      </w:pPr>
      <w:rPr>
        <w:rFonts w:ascii="Wingdings" w:hAnsi="Wingdings" w:hint="default"/>
      </w:rPr>
    </w:lvl>
    <w:lvl w:ilvl="6" w:tplc="14090001" w:tentative="1">
      <w:start w:val="1"/>
      <w:numFmt w:val="bullet"/>
      <w:lvlText w:val=""/>
      <w:lvlJc w:val="left"/>
      <w:pPr>
        <w:ind w:left="5757" w:hanging="360"/>
      </w:pPr>
      <w:rPr>
        <w:rFonts w:ascii="Symbol" w:hAnsi="Symbol" w:hint="default"/>
      </w:rPr>
    </w:lvl>
    <w:lvl w:ilvl="7" w:tplc="14090003" w:tentative="1">
      <w:start w:val="1"/>
      <w:numFmt w:val="bullet"/>
      <w:lvlText w:val="o"/>
      <w:lvlJc w:val="left"/>
      <w:pPr>
        <w:ind w:left="6477" w:hanging="360"/>
      </w:pPr>
      <w:rPr>
        <w:rFonts w:ascii="Courier New" w:hAnsi="Courier New" w:cs="Courier New" w:hint="default"/>
      </w:rPr>
    </w:lvl>
    <w:lvl w:ilvl="8" w:tplc="14090005" w:tentative="1">
      <w:start w:val="1"/>
      <w:numFmt w:val="bullet"/>
      <w:lvlText w:val=""/>
      <w:lvlJc w:val="left"/>
      <w:pPr>
        <w:ind w:left="7197" w:hanging="360"/>
      </w:pPr>
      <w:rPr>
        <w:rFonts w:ascii="Wingdings" w:hAnsi="Wingdings" w:hint="default"/>
      </w:rPr>
    </w:lvl>
  </w:abstractNum>
  <w:abstractNum w:abstractNumId="8" w15:restartNumberingAfterBreak="0">
    <w:nsid w:val="757A226E"/>
    <w:multiLevelType w:val="hybridMultilevel"/>
    <w:tmpl w:val="414E9A2C"/>
    <w:lvl w:ilvl="0" w:tplc="A5C8853E">
      <w:numFmt w:val="bullet"/>
      <w:lvlText w:val="-"/>
      <w:lvlJc w:val="left"/>
      <w:pPr>
        <w:ind w:left="720" w:hanging="360"/>
      </w:pPr>
      <w:rPr>
        <w:rFonts w:ascii="Calibri" w:eastAsia="Calibri" w:hAnsi="Calibri" w:cs="Calibri"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6"/>
  </w:num>
  <w:num w:numId="4">
    <w:abstractNumId w:val="7"/>
  </w:num>
  <w:num w:numId="5">
    <w:abstractNumId w:val="1"/>
  </w:num>
  <w:num w:numId="6">
    <w:abstractNumId w:val="2"/>
  </w:num>
  <w:num w:numId="7">
    <w:abstractNumId w:val="8"/>
  </w:num>
  <w:num w:numId="8">
    <w:abstractNumId w:val="3"/>
  </w:num>
  <w:num w:numId="9">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880"/>
    <w:rsid w:val="00000C70"/>
    <w:rsid w:val="000031EB"/>
    <w:rsid w:val="00004B8E"/>
    <w:rsid w:val="00012081"/>
    <w:rsid w:val="000203EC"/>
    <w:rsid w:val="0002136B"/>
    <w:rsid w:val="0002178B"/>
    <w:rsid w:val="00027311"/>
    <w:rsid w:val="00031D11"/>
    <w:rsid w:val="00034F09"/>
    <w:rsid w:val="00040BD8"/>
    <w:rsid w:val="00041523"/>
    <w:rsid w:val="00045CDA"/>
    <w:rsid w:val="0006030E"/>
    <w:rsid w:val="000611E6"/>
    <w:rsid w:val="00062E87"/>
    <w:rsid w:val="00063BFC"/>
    <w:rsid w:val="00065E96"/>
    <w:rsid w:val="00075E7E"/>
    <w:rsid w:val="0008703E"/>
    <w:rsid w:val="000927F4"/>
    <w:rsid w:val="000A3200"/>
    <w:rsid w:val="000B32C0"/>
    <w:rsid w:val="000B5817"/>
    <w:rsid w:val="000B5B33"/>
    <w:rsid w:val="000C350B"/>
    <w:rsid w:val="000E549F"/>
    <w:rsid w:val="000F013E"/>
    <w:rsid w:val="000F4181"/>
    <w:rsid w:val="000F774C"/>
    <w:rsid w:val="00102070"/>
    <w:rsid w:val="00122F01"/>
    <w:rsid w:val="00123161"/>
    <w:rsid w:val="00126554"/>
    <w:rsid w:val="00132B13"/>
    <w:rsid w:val="00135458"/>
    <w:rsid w:val="00136404"/>
    <w:rsid w:val="00146008"/>
    <w:rsid w:val="00146EF5"/>
    <w:rsid w:val="00151F9E"/>
    <w:rsid w:val="00157EB4"/>
    <w:rsid w:val="0017346C"/>
    <w:rsid w:val="00176FCC"/>
    <w:rsid w:val="00182D31"/>
    <w:rsid w:val="00183742"/>
    <w:rsid w:val="001856EA"/>
    <w:rsid w:val="00185B8B"/>
    <w:rsid w:val="001B7433"/>
    <w:rsid w:val="001D3D2C"/>
    <w:rsid w:val="001D40EF"/>
    <w:rsid w:val="001F66B3"/>
    <w:rsid w:val="00201834"/>
    <w:rsid w:val="00207CCE"/>
    <w:rsid w:val="002120DB"/>
    <w:rsid w:val="0022551A"/>
    <w:rsid w:val="00227A04"/>
    <w:rsid w:val="0023129F"/>
    <w:rsid w:val="00231A95"/>
    <w:rsid w:val="0024187E"/>
    <w:rsid w:val="00243F99"/>
    <w:rsid w:val="00244492"/>
    <w:rsid w:val="0024473C"/>
    <w:rsid w:val="00246DF0"/>
    <w:rsid w:val="00255DBB"/>
    <w:rsid w:val="00267427"/>
    <w:rsid w:val="002712A2"/>
    <w:rsid w:val="002720BC"/>
    <w:rsid w:val="00281ADC"/>
    <w:rsid w:val="00282EFA"/>
    <w:rsid w:val="002A6F69"/>
    <w:rsid w:val="002B2A5D"/>
    <w:rsid w:val="002C5795"/>
    <w:rsid w:val="002D0EE3"/>
    <w:rsid w:val="002D1EEE"/>
    <w:rsid w:val="002D2053"/>
    <w:rsid w:val="002D28BD"/>
    <w:rsid w:val="002F47F6"/>
    <w:rsid w:val="003003E7"/>
    <w:rsid w:val="003079EC"/>
    <w:rsid w:val="0031265F"/>
    <w:rsid w:val="0031592F"/>
    <w:rsid w:val="003169F3"/>
    <w:rsid w:val="0032235A"/>
    <w:rsid w:val="00324616"/>
    <w:rsid w:val="003260CE"/>
    <w:rsid w:val="003505B5"/>
    <w:rsid w:val="00353707"/>
    <w:rsid w:val="003610DD"/>
    <w:rsid w:val="00362B67"/>
    <w:rsid w:val="003702C9"/>
    <w:rsid w:val="0039300C"/>
    <w:rsid w:val="003A72CC"/>
    <w:rsid w:val="003D0277"/>
    <w:rsid w:val="003E6D68"/>
    <w:rsid w:val="003F2E4A"/>
    <w:rsid w:val="003F4D43"/>
    <w:rsid w:val="003F5CBA"/>
    <w:rsid w:val="00403385"/>
    <w:rsid w:val="004039F0"/>
    <w:rsid w:val="00406882"/>
    <w:rsid w:val="00412AC9"/>
    <w:rsid w:val="00414C8B"/>
    <w:rsid w:val="004514F1"/>
    <w:rsid w:val="00471B29"/>
    <w:rsid w:val="004748C5"/>
    <w:rsid w:val="004B773C"/>
    <w:rsid w:val="004C5705"/>
    <w:rsid w:val="004C65DC"/>
    <w:rsid w:val="004D594D"/>
    <w:rsid w:val="004E5880"/>
    <w:rsid w:val="004E596D"/>
    <w:rsid w:val="00501300"/>
    <w:rsid w:val="00527FCF"/>
    <w:rsid w:val="00537FD8"/>
    <w:rsid w:val="00542AB5"/>
    <w:rsid w:val="00543DDF"/>
    <w:rsid w:val="00562165"/>
    <w:rsid w:val="005704C2"/>
    <w:rsid w:val="0057489D"/>
    <w:rsid w:val="00581E35"/>
    <w:rsid w:val="005A162C"/>
    <w:rsid w:val="005B3C34"/>
    <w:rsid w:val="005B5BB8"/>
    <w:rsid w:val="005C449B"/>
    <w:rsid w:val="005C4E13"/>
    <w:rsid w:val="005D1C0F"/>
    <w:rsid w:val="005D2925"/>
    <w:rsid w:val="005E2A73"/>
    <w:rsid w:val="005E31A1"/>
    <w:rsid w:val="006010B0"/>
    <w:rsid w:val="00603180"/>
    <w:rsid w:val="00612E37"/>
    <w:rsid w:val="00626C58"/>
    <w:rsid w:val="006273DE"/>
    <w:rsid w:val="006345BB"/>
    <w:rsid w:val="00634DB7"/>
    <w:rsid w:val="00653210"/>
    <w:rsid w:val="00666767"/>
    <w:rsid w:val="00667DEA"/>
    <w:rsid w:val="00674DBE"/>
    <w:rsid w:val="00677D22"/>
    <w:rsid w:val="006966E8"/>
    <w:rsid w:val="006A6372"/>
    <w:rsid w:val="006B736E"/>
    <w:rsid w:val="006C2F69"/>
    <w:rsid w:val="00702E6E"/>
    <w:rsid w:val="00731F6D"/>
    <w:rsid w:val="007416B7"/>
    <w:rsid w:val="007465EB"/>
    <w:rsid w:val="007507B7"/>
    <w:rsid w:val="00757ADB"/>
    <w:rsid w:val="007629DE"/>
    <w:rsid w:val="0076652E"/>
    <w:rsid w:val="007718E0"/>
    <w:rsid w:val="007760A9"/>
    <w:rsid w:val="00776B33"/>
    <w:rsid w:val="00787D97"/>
    <w:rsid w:val="007B414F"/>
    <w:rsid w:val="007B6322"/>
    <w:rsid w:val="007C15EB"/>
    <w:rsid w:val="007F0BC5"/>
    <w:rsid w:val="007F4D8B"/>
    <w:rsid w:val="00800B35"/>
    <w:rsid w:val="00801F56"/>
    <w:rsid w:val="00812C36"/>
    <w:rsid w:val="008232C9"/>
    <w:rsid w:val="00835BE6"/>
    <w:rsid w:val="00840C44"/>
    <w:rsid w:val="00842F60"/>
    <w:rsid w:val="00844E64"/>
    <w:rsid w:val="00845960"/>
    <w:rsid w:val="00850CF8"/>
    <w:rsid w:val="00852715"/>
    <w:rsid w:val="0085521A"/>
    <w:rsid w:val="00862F17"/>
    <w:rsid w:val="0086655E"/>
    <w:rsid w:val="00880C41"/>
    <w:rsid w:val="00883C5B"/>
    <w:rsid w:val="008A48B9"/>
    <w:rsid w:val="008B6F0B"/>
    <w:rsid w:val="008C43BD"/>
    <w:rsid w:val="008C4AE7"/>
    <w:rsid w:val="008C5CB1"/>
    <w:rsid w:val="008F0974"/>
    <w:rsid w:val="008F4908"/>
    <w:rsid w:val="008F7D24"/>
    <w:rsid w:val="009063A2"/>
    <w:rsid w:val="009335BB"/>
    <w:rsid w:val="00936DBC"/>
    <w:rsid w:val="009574DA"/>
    <w:rsid w:val="009602D3"/>
    <w:rsid w:val="009615DB"/>
    <w:rsid w:val="00963E93"/>
    <w:rsid w:val="00964E2B"/>
    <w:rsid w:val="00970FCE"/>
    <w:rsid w:val="00971C77"/>
    <w:rsid w:val="0098798F"/>
    <w:rsid w:val="009A355B"/>
    <w:rsid w:val="009A7073"/>
    <w:rsid w:val="009B6F6D"/>
    <w:rsid w:val="009E2D9C"/>
    <w:rsid w:val="009F19E5"/>
    <w:rsid w:val="009F3896"/>
    <w:rsid w:val="009F3D91"/>
    <w:rsid w:val="009F62D5"/>
    <w:rsid w:val="00A0090B"/>
    <w:rsid w:val="00A00B90"/>
    <w:rsid w:val="00A0185D"/>
    <w:rsid w:val="00A01D43"/>
    <w:rsid w:val="00A11B32"/>
    <w:rsid w:val="00A14A28"/>
    <w:rsid w:val="00A207F8"/>
    <w:rsid w:val="00A22294"/>
    <w:rsid w:val="00A30035"/>
    <w:rsid w:val="00A4422B"/>
    <w:rsid w:val="00A44598"/>
    <w:rsid w:val="00A53BF3"/>
    <w:rsid w:val="00A57014"/>
    <w:rsid w:val="00A76A8D"/>
    <w:rsid w:val="00A84457"/>
    <w:rsid w:val="00A91694"/>
    <w:rsid w:val="00A97DA3"/>
    <w:rsid w:val="00AA7F67"/>
    <w:rsid w:val="00AB2128"/>
    <w:rsid w:val="00AB7A00"/>
    <w:rsid w:val="00AE452E"/>
    <w:rsid w:val="00AF2F55"/>
    <w:rsid w:val="00AF5529"/>
    <w:rsid w:val="00B00874"/>
    <w:rsid w:val="00B057A4"/>
    <w:rsid w:val="00B05DBE"/>
    <w:rsid w:val="00B073AB"/>
    <w:rsid w:val="00B07712"/>
    <w:rsid w:val="00B11CA7"/>
    <w:rsid w:val="00B12562"/>
    <w:rsid w:val="00B17898"/>
    <w:rsid w:val="00B351A9"/>
    <w:rsid w:val="00B35778"/>
    <w:rsid w:val="00B52158"/>
    <w:rsid w:val="00B62B3C"/>
    <w:rsid w:val="00B650BD"/>
    <w:rsid w:val="00B66905"/>
    <w:rsid w:val="00B67352"/>
    <w:rsid w:val="00B746FD"/>
    <w:rsid w:val="00B96109"/>
    <w:rsid w:val="00BA75A8"/>
    <w:rsid w:val="00BB1E95"/>
    <w:rsid w:val="00BB30D0"/>
    <w:rsid w:val="00BC64B7"/>
    <w:rsid w:val="00BE0FA9"/>
    <w:rsid w:val="00BE1AEA"/>
    <w:rsid w:val="00BF5268"/>
    <w:rsid w:val="00BF70B0"/>
    <w:rsid w:val="00C06992"/>
    <w:rsid w:val="00C14CE4"/>
    <w:rsid w:val="00C16536"/>
    <w:rsid w:val="00C27677"/>
    <w:rsid w:val="00C30DD9"/>
    <w:rsid w:val="00C33498"/>
    <w:rsid w:val="00C41446"/>
    <w:rsid w:val="00C47B83"/>
    <w:rsid w:val="00C60EB7"/>
    <w:rsid w:val="00C76D65"/>
    <w:rsid w:val="00C81EB5"/>
    <w:rsid w:val="00C95BB7"/>
    <w:rsid w:val="00CC2C95"/>
    <w:rsid w:val="00CC37BE"/>
    <w:rsid w:val="00CD3B69"/>
    <w:rsid w:val="00CD71A8"/>
    <w:rsid w:val="00CE00D6"/>
    <w:rsid w:val="00CE07E5"/>
    <w:rsid w:val="00CE4E43"/>
    <w:rsid w:val="00CF138B"/>
    <w:rsid w:val="00CF624F"/>
    <w:rsid w:val="00CF62E5"/>
    <w:rsid w:val="00D06E99"/>
    <w:rsid w:val="00D201D4"/>
    <w:rsid w:val="00D31BBA"/>
    <w:rsid w:val="00D431DB"/>
    <w:rsid w:val="00D43647"/>
    <w:rsid w:val="00D53203"/>
    <w:rsid w:val="00D6675A"/>
    <w:rsid w:val="00D70EBA"/>
    <w:rsid w:val="00D74540"/>
    <w:rsid w:val="00D81060"/>
    <w:rsid w:val="00D811C6"/>
    <w:rsid w:val="00D81E86"/>
    <w:rsid w:val="00D83731"/>
    <w:rsid w:val="00DA5AC5"/>
    <w:rsid w:val="00DB7090"/>
    <w:rsid w:val="00DC23FA"/>
    <w:rsid w:val="00DC7D6E"/>
    <w:rsid w:val="00DD5F68"/>
    <w:rsid w:val="00DE2D24"/>
    <w:rsid w:val="00DF21D3"/>
    <w:rsid w:val="00DF3207"/>
    <w:rsid w:val="00DF3533"/>
    <w:rsid w:val="00DF53DE"/>
    <w:rsid w:val="00DF54B5"/>
    <w:rsid w:val="00E0671B"/>
    <w:rsid w:val="00E11735"/>
    <w:rsid w:val="00E20266"/>
    <w:rsid w:val="00E2639E"/>
    <w:rsid w:val="00E338DD"/>
    <w:rsid w:val="00E423D5"/>
    <w:rsid w:val="00E544B3"/>
    <w:rsid w:val="00E6048F"/>
    <w:rsid w:val="00E6732E"/>
    <w:rsid w:val="00E718A6"/>
    <w:rsid w:val="00E73E4E"/>
    <w:rsid w:val="00E74DB3"/>
    <w:rsid w:val="00E86064"/>
    <w:rsid w:val="00E97139"/>
    <w:rsid w:val="00E9788F"/>
    <w:rsid w:val="00EA0E25"/>
    <w:rsid w:val="00EA6A38"/>
    <w:rsid w:val="00EB13F2"/>
    <w:rsid w:val="00EC5242"/>
    <w:rsid w:val="00EC6AAF"/>
    <w:rsid w:val="00ED48A6"/>
    <w:rsid w:val="00ED4E3F"/>
    <w:rsid w:val="00EE1E09"/>
    <w:rsid w:val="00EE3929"/>
    <w:rsid w:val="00EF5064"/>
    <w:rsid w:val="00EF5BD2"/>
    <w:rsid w:val="00F03178"/>
    <w:rsid w:val="00F0563B"/>
    <w:rsid w:val="00F16216"/>
    <w:rsid w:val="00F25FEE"/>
    <w:rsid w:val="00F35552"/>
    <w:rsid w:val="00F44971"/>
    <w:rsid w:val="00F4541A"/>
    <w:rsid w:val="00F50B90"/>
    <w:rsid w:val="00F61123"/>
    <w:rsid w:val="00F71305"/>
    <w:rsid w:val="00F71979"/>
    <w:rsid w:val="00F81F6F"/>
    <w:rsid w:val="00F8779E"/>
    <w:rsid w:val="00FA761C"/>
    <w:rsid w:val="00FB10E7"/>
    <w:rsid w:val="00FB68B4"/>
    <w:rsid w:val="00FC191D"/>
    <w:rsid w:val="00FC2745"/>
    <w:rsid w:val="00FC57AA"/>
    <w:rsid w:val="00FC7889"/>
    <w:rsid w:val="00FC79DB"/>
    <w:rsid w:val="00FD13CD"/>
    <w:rsid w:val="00FD1FF9"/>
    <w:rsid w:val="00FE23AE"/>
    <w:rsid w:val="00FF1BD6"/>
    <w:rsid w:val="00FF3894"/>
    <w:rsid w:val="00FF5623"/>
    <w:rsid w:val="00FF656C"/>
    <w:rsid w:val="00FF6F7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2E8D22BF"/>
  <w14:defaultImageDpi w14:val="96"/>
  <w15:docId w15:val="{322C8CA0-BE5D-4EA8-8BB2-A891C411B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712"/>
    <w:pPr>
      <w:spacing w:before="120" w:after="120" w:line="276" w:lineRule="auto"/>
      <w:ind w:left="357"/>
      <w:jc w:val="both"/>
    </w:pPr>
    <w:rPr>
      <w:rFonts w:eastAsia="Times New Roman"/>
      <w:lang w:eastAsia="en-US"/>
    </w:rPr>
  </w:style>
  <w:style w:type="paragraph" w:styleId="Heading2">
    <w:name w:val="heading 2"/>
    <w:basedOn w:val="ListParagraph"/>
    <w:next w:val="Normal"/>
    <w:link w:val="Heading2Char"/>
    <w:uiPriority w:val="9"/>
    <w:unhideWhenUsed/>
    <w:qFormat/>
    <w:rsid w:val="00034F09"/>
    <w:pPr>
      <w:keepNext/>
      <w:numPr>
        <w:numId w:val="1"/>
      </w:numPr>
      <w:spacing w:line="360" w:lineRule="auto"/>
      <w:outlineLvl w:val="1"/>
    </w:pPr>
    <w:rPr>
      <w:b/>
      <w:bCs/>
      <w:color w:val="408386"/>
      <w:sz w:val="24"/>
      <w:szCs w:val="24"/>
    </w:rPr>
  </w:style>
  <w:style w:type="paragraph" w:styleId="Heading4">
    <w:name w:val="heading 4"/>
    <w:basedOn w:val="Normal"/>
    <w:next w:val="Normal"/>
    <w:link w:val="Heading4Char"/>
    <w:uiPriority w:val="9"/>
    <w:unhideWhenUsed/>
    <w:qFormat/>
    <w:rsid w:val="00D6675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5880"/>
    <w:rPr>
      <w:rFonts w:cs="Times New Roman"/>
      <w:color w:val="0000FF"/>
      <w:u w:val="single"/>
    </w:rPr>
  </w:style>
  <w:style w:type="paragraph" w:styleId="ListParagraph">
    <w:name w:val="List Paragraph"/>
    <w:aliases w:val="Numbered List,Rec para,Dot pt,F5 List Paragraph,List Paragraph1,No Spacing1,List Paragraph Char Char Char,Indicator Text,Numbered Para 1,Colorful List - Accent 11,Bullet 1,MAIN CONTENT,List Paragraph12,List Paragraph2,Normal numbered,L,列"/>
    <w:basedOn w:val="Normal"/>
    <w:link w:val="ListParagraphChar"/>
    <w:uiPriority w:val="34"/>
    <w:qFormat/>
    <w:rsid w:val="004E5880"/>
    <w:pPr>
      <w:ind w:left="720"/>
    </w:pPr>
  </w:style>
  <w:style w:type="character" w:styleId="FollowedHyperlink">
    <w:name w:val="FollowedHyperlink"/>
    <w:basedOn w:val="DefaultParagraphFont"/>
    <w:uiPriority w:val="99"/>
    <w:semiHidden/>
    <w:unhideWhenUsed/>
    <w:rsid w:val="004E5880"/>
    <w:rPr>
      <w:rFonts w:cs="Times New Roman"/>
      <w:color w:val="954F72" w:themeColor="followedHyperlink"/>
      <w:u w:val="single"/>
    </w:rPr>
  </w:style>
  <w:style w:type="paragraph" w:styleId="NormalWeb">
    <w:name w:val="Normal (Web)"/>
    <w:basedOn w:val="Normal"/>
    <w:uiPriority w:val="99"/>
    <w:unhideWhenUsed/>
    <w:rsid w:val="004E5880"/>
    <w:rPr>
      <w:rFonts w:ascii="Times New Roman" w:hAnsi="Times New Roman"/>
      <w:sz w:val="24"/>
      <w:szCs w:val="24"/>
    </w:rPr>
  </w:style>
  <w:style w:type="character" w:styleId="UnresolvedMention">
    <w:name w:val="Unresolved Mention"/>
    <w:basedOn w:val="DefaultParagraphFont"/>
    <w:uiPriority w:val="99"/>
    <w:semiHidden/>
    <w:unhideWhenUsed/>
    <w:rsid w:val="004E5880"/>
    <w:rPr>
      <w:rFonts w:cs="Times New Roman"/>
      <w:color w:val="605E5C"/>
      <w:shd w:val="clear" w:color="auto" w:fill="E1DFDD"/>
    </w:rPr>
  </w:style>
  <w:style w:type="paragraph" w:styleId="Header">
    <w:name w:val="header"/>
    <w:basedOn w:val="Normal"/>
    <w:link w:val="HeaderChar"/>
    <w:uiPriority w:val="99"/>
    <w:unhideWhenUsed/>
    <w:rsid w:val="00666767"/>
    <w:pPr>
      <w:tabs>
        <w:tab w:val="center" w:pos="4513"/>
        <w:tab w:val="right" w:pos="9026"/>
      </w:tabs>
    </w:pPr>
  </w:style>
  <w:style w:type="character" w:customStyle="1" w:styleId="HeaderChar">
    <w:name w:val="Header Char"/>
    <w:basedOn w:val="DefaultParagraphFont"/>
    <w:link w:val="Header"/>
    <w:uiPriority w:val="99"/>
    <w:locked/>
    <w:rsid w:val="00666767"/>
    <w:rPr>
      <w:rFonts w:cs="Times New Roman"/>
    </w:rPr>
  </w:style>
  <w:style w:type="paragraph" w:styleId="Footer">
    <w:name w:val="footer"/>
    <w:basedOn w:val="Normal"/>
    <w:link w:val="FooterChar"/>
    <w:uiPriority w:val="99"/>
    <w:unhideWhenUsed/>
    <w:rsid w:val="00666767"/>
    <w:pPr>
      <w:tabs>
        <w:tab w:val="center" w:pos="4513"/>
        <w:tab w:val="right" w:pos="9026"/>
      </w:tabs>
    </w:pPr>
  </w:style>
  <w:style w:type="character" w:customStyle="1" w:styleId="FooterChar">
    <w:name w:val="Footer Char"/>
    <w:basedOn w:val="DefaultParagraphFont"/>
    <w:link w:val="Footer"/>
    <w:uiPriority w:val="99"/>
    <w:locked/>
    <w:rsid w:val="00666767"/>
    <w:rPr>
      <w:rFonts w:cs="Times New Roman"/>
    </w:rPr>
  </w:style>
  <w:style w:type="character" w:customStyle="1" w:styleId="ListParagraphChar">
    <w:name w:val="List Paragraph Char"/>
    <w:aliases w:val="Numbered List Char,Rec para Char,Dot pt Char,F5 List Paragraph Char,List Paragraph1 Char,No Spacing1 Char,List Paragraph Char Char Char Char,Indicator Text Char,Numbered Para 1 Char,Colorful List - Accent 11 Char,Bullet 1 Char,L Char"/>
    <w:link w:val="ListParagraph"/>
    <w:uiPriority w:val="34"/>
    <w:locked/>
    <w:rsid w:val="002720BC"/>
  </w:style>
  <w:style w:type="character" w:styleId="Emphasis">
    <w:name w:val="Emphasis"/>
    <w:basedOn w:val="DefaultParagraphFont"/>
    <w:uiPriority w:val="20"/>
    <w:qFormat/>
    <w:rsid w:val="00146EF5"/>
    <w:rPr>
      <w:rFonts w:cs="Times New Roman"/>
      <w:i/>
    </w:rPr>
  </w:style>
  <w:style w:type="paragraph" w:styleId="BalloonText">
    <w:name w:val="Balloon Text"/>
    <w:basedOn w:val="Normal"/>
    <w:link w:val="BalloonTextChar"/>
    <w:uiPriority w:val="99"/>
    <w:semiHidden/>
    <w:unhideWhenUsed/>
    <w:rsid w:val="00D81E8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81E86"/>
    <w:rPr>
      <w:rFonts w:ascii="Segoe UI" w:hAnsi="Segoe UI" w:cs="Segoe UI"/>
      <w:sz w:val="18"/>
      <w:szCs w:val="18"/>
    </w:rPr>
  </w:style>
  <w:style w:type="character" w:styleId="Strong">
    <w:name w:val="Strong"/>
    <w:basedOn w:val="DefaultParagraphFont"/>
    <w:uiPriority w:val="22"/>
    <w:qFormat/>
    <w:rsid w:val="00D81E86"/>
    <w:rPr>
      <w:rFonts w:cs="Times New Roman"/>
      <w:b/>
    </w:rPr>
  </w:style>
  <w:style w:type="paragraph" w:customStyle="1" w:styleId="ydpa5e651ccmsonormal">
    <w:name w:val="ydpa5e651ccmsonormal"/>
    <w:basedOn w:val="Normal"/>
    <w:rsid w:val="0085521A"/>
    <w:pPr>
      <w:spacing w:before="100" w:beforeAutospacing="1" w:after="100" w:afterAutospacing="1" w:line="240" w:lineRule="auto"/>
    </w:pPr>
    <w:rPr>
      <w:rFonts w:ascii="Calibri" w:hAnsi="Calibri" w:cs="Calibri"/>
    </w:rPr>
  </w:style>
  <w:style w:type="paragraph" w:customStyle="1" w:styleId="ng-binding">
    <w:name w:val="ng-binding"/>
    <w:basedOn w:val="Normal"/>
    <w:rsid w:val="00E20266"/>
    <w:pPr>
      <w:spacing w:before="100" w:beforeAutospacing="1" w:after="100" w:afterAutospacing="1" w:line="240" w:lineRule="auto"/>
    </w:pPr>
    <w:rPr>
      <w:rFonts w:ascii="Times New Roman" w:hAnsi="Times New Roman"/>
      <w:sz w:val="24"/>
      <w:szCs w:val="24"/>
    </w:rPr>
  </w:style>
  <w:style w:type="character" w:styleId="CommentReference">
    <w:name w:val="annotation reference"/>
    <w:basedOn w:val="DefaultParagraphFont"/>
    <w:uiPriority w:val="99"/>
    <w:semiHidden/>
    <w:unhideWhenUsed/>
    <w:rsid w:val="009574DA"/>
    <w:rPr>
      <w:sz w:val="16"/>
      <w:szCs w:val="16"/>
    </w:rPr>
  </w:style>
  <w:style w:type="paragraph" w:styleId="CommentText">
    <w:name w:val="annotation text"/>
    <w:basedOn w:val="Normal"/>
    <w:link w:val="CommentTextChar"/>
    <w:uiPriority w:val="99"/>
    <w:unhideWhenUsed/>
    <w:rsid w:val="009574DA"/>
    <w:pPr>
      <w:spacing w:line="240" w:lineRule="auto"/>
    </w:pPr>
    <w:rPr>
      <w:sz w:val="20"/>
      <w:szCs w:val="20"/>
    </w:rPr>
  </w:style>
  <w:style w:type="character" w:customStyle="1" w:styleId="CommentTextChar">
    <w:name w:val="Comment Text Char"/>
    <w:basedOn w:val="DefaultParagraphFont"/>
    <w:link w:val="CommentText"/>
    <w:uiPriority w:val="99"/>
    <w:rsid w:val="009574DA"/>
    <w:rPr>
      <w:sz w:val="20"/>
      <w:szCs w:val="20"/>
    </w:rPr>
  </w:style>
  <w:style w:type="paragraph" w:styleId="CommentSubject">
    <w:name w:val="annotation subject"/>
    <w:basedOn w:val="CommentText"/>
    <w:next w:val="CommentText"/>
    <w:link w:val="CommentSubjectChar"/>
    <w:uiPriority w:val="99"/>
    <w:semiHidden/>
    <w:unhideWhenUsed/>
    <w:rsid w:val="009574DA"/>
    <w:rPr>
      <w:b/>
      <w:bCs/>
    </w:rPr>
  </w:style>
  <w:style w:type="character" w:customStyle="1" w:styleId="CommentSubjectChar">
    <w:name w:val="Comment Subject Char"/>
    <w:basedOn w:val="CommentTextChar"/>
    <w:link w:val="CommentSubject"/>
    <w:uiPriority w:val="99"/>
    <w:semiHidden/>
    <w:rsid w:val="009574DA"/>
    <w:rPr>
      <w:b/>
      <w:bCs/>
      <w:sz w:val="20"/>
      <w:szCs w:val="20"/>
    </w:rPr>
  </w:style>
  <w:style w:type="character" w:customStyle="1" w:styleId="Heading2Char">
    <w:name w:val="Heading 2 Char"/>
    <w:basedOn w:val="DefaultParagraphFont"/>
    <w:link w:val="Heading2"/>
    <w:uiPriority w:val="9"/>
    <w:rsid w:val="00034F09"/>
    <w:rPr>
      <w:rFonts w:eastAsia="Times New Roman"/>
      <w:b/>
      <w:bCs/>
      <w:color w:val="408386"/>
      <w:sz w:val="24"/>
      <w:szCs w:val="24"/>
      <w:lang w:eastAsia="en-US"/>
    </w:rPr>
  </w:style>
  <w:style w:type="character" w:customStyle="1" w:styleId="nonvisual-indicator">
    <w:name w:val="nonvisual-indicator"/>
    <w:basedOn w:val="DefaultParagraphFont"/>
    <w:rsid w:val="00D6675A"/>
  </w:style>
  <w:style w:type="character" w:customStyle="1" w:styleId="Heading4Char">
    <w:name w:val="Heading 4 Char"/>
    <w:basedOn w:val="DefaultParagraphFont"/>
    <w:link w:val="Heading4"/>
    <w:uiPriority w:val="9"/>
    <w:rsid w:val="00D6675A"/>
    <w:rPr>
      <w:rFonts w:asciiTheme="majorHAnsi" w:eastAsiaTheme="majorEastAsia" w:hAnsiTheme="majorHAnsi" w:cstheme="majorBidi"/>
      <w:i/>
      <w:iCs/>
      <w:color w:val="2F5496" w:themeColor="accent1" w:themeShade="BF"/>
      <w:lang w:eastAsia="en-US"/>
    </w:rPr>
  </w:style>
  <w:style w:type="paragraph" w:styleId="Revision">
    <w:name w:val="Revision"/>
    <w:hidden/>
    <w:uiPriority w:val="99"/>
    <w:semiHidden/>
    <w:rsid w:val="00702E6E"/>
    <w:pPr>
      <w:spacing w:after="0" w:line="240" w:lineRule="auto"/>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462130">
      <w:bodyDiv w:val="1"/>
      <w:marLeft w:val="0"/>
      <w:marRight w:val="0"/>
      <w:marTop w:val="0"/>
      <w:marBottom w:val="0"/>
      <w:divBdr>
        <w:top w:val="none" w:sz="0" w:space="0" w:color="auto"/>
        <w:left w:val="none" w:sz="0" w:space="0" w:color="auto"/>
        <w:bottom w:val="none" w:sz="0" w:space="0" w:color="auto"/>
        <w:right w:val="none" w:sz="0" w:space="0" w:color="auto"/>
      </w:divBdr>
    </w:div>
    <w:div w:id="244385584">
      <w:bodyDiv w:val="1"/>
      <w:marLeft w:val="0"/>
      <w:marRight w:val="0"/>
      <w:marTop w:val="0"/>
      <w:marBottom w:val="0"/>
      <w:divBdr>
        <w:top w:val="none" w:sz="0" w:space="0" w:color="auto"/>
        <w:left w:val="none" w:sz="0" w:space="0" w:color="auto"/>
        <w:bottom w:val="none" w:sz="0" w:space="0" w:color="auto"/>
        <w:right w:val="none" w:sz="0" w:space="0" w:color="auto"/>
      </w:divBdr>
    </w:div>
    <w:div w:id="254099624">
      <w:bodyDiv w:val="1"/>
      <w:marLeft w:val="0"/>
      <w:marRight w:val="0"/>
      <w:marTop w:val="0"/>
      <w:marBottom w:val="0"/>
      <w:divBdr>
        <w:top w:val="none" w:sz="0" w:space="0" w:color="auto"/>
        <w:left w:val="none" w:sz="0" w:space="0" w:color="auto"/>
        <w:bottom w:val="none" w:sz="0" w:space="0" w:color="auto"/>
        <w:right w:val="none" w:sz="0" w:space="0" w:color="auto"/>
      </w:divBdr>
    </w:div>
    <w:div w:id="473988303">
      <w:bodyDiv w:val="1"/>
      <w:marLeft w:val="0"/>
      <w:marRight w:val="0"/>
      <w:marTop w:val="0"/>
      <w:marBottom w:val="0"/>
      <w:divBdr>
        <w:top w:val="none" w:sz="0" w:space="0" w:color="auto"/>
        <w:left w:val="none" w:sz="0" w:space="0" w:color="auto"/>
        <w:bottom w:val="none" w:sz="0" w:space="0" w:color="auto"/>
        <w:right w:val="none" w:sz="0" w:space="0" w:color="auto"/>
      </w:divBdr>
    </w:div>
    <w:div w:id="487672443">
      <w:bodyDiv w:val="1"/>
      <w:marLeft w:val="0"/>
      <w:marRight w:val="0"/>
      <w:marTop w:val="0"/>
      <w:marBottom w:val="0"/>
      <w:divBdr>
        <w:top w:val="none" w:sz="0" w:space="0" w:color="auto"/>
        <w:left w:val="none" w:sz="0" w:space="0" w:color="auto"/>
        <w:bottom w:val="none" w:sz="0" w:space="0" w:color="auto"/>
        <w:right w:val="none" w:sz="0" w:space="0" w:color="auto"/>
      </w:divBdr>
    </w:div>
    <w:div w:id="499197474">
      <w:bodyDiv w:val="1"/>
      <w:marLeft w:val="0"/>
      <w:marRight w:val="0"/>
      <w:marTop w:val="0"/>
      <w:marBottom w:val="0"/>
      <w:divBdr>
        <w:top w:val="none" w:sz="0" w:space="0" w:color="auto"/>
        <w:left w:val="none" w:sz="0" w:space="0" w:color="auto"/>
        <w:bottom w:val="none" w:sz="0" w:space="0" w:color="auto"/>
        <w:right w:val="none" w:sz="0" w:space="0" w:color="auto"/>
      </w:divBdr>
    </w:div>
    <w:div w:id="533687497">
      <w:bodyDiv w:val="1"/>
      <w:marLeft w:val="0"/>
      <w:marRight w:val="0"/>
      <w:marTop w:val="0"/>
      <w:marBottom w:val="0"/>
      <w:divBdr>
        <w:top w:val="none" w:sz="0" w:space="0" w:color="auto"/>
        <w:left w:val="none" w:sz="0" w:space="0" w:color="auto"/>
        <w:bottom w:val="none" w:sz="0" w:space="0" w:color="auto"/>
        <w:right w:val="none" w:sz="0" w:space="0" w:color="auto"/>
      </w:divBdr>
    </w:div>
    <w:div w:id="565190182">
      <w:bodyDiv w:val="1"/>
      <w:marLeft w:val="0"/>
      <w:marRight w:val="0"/>
      <w:marTop w:val="0"/>
      <w:marBottom w:val="0"/>
      <w:divBdr>
        <w:top w:val="none" w:sz="0" w:space="0" w:color="auto"/>
        <w:left w:val="none" w:sz="0" w:space="0" w:color="auto"/>
        <w:bottom w:val="none" w:sz="0" w:space="0" w:color="auto"/>
        <w:right w:val="none" w:sz="0" w:space="0" w:color="auto"/>
      </w:divBdr>
    </w:div>
    <w:div w:id="566846827">
      <w:bodyDiv w:val="1"/>
      <w:marLeft w:val="0"/>
      <w:marRight w:val="0"/>
      <w:marTop w:val="0"/>
      <w:marBottom w:val="0"/>
      <w:divBdr>
        <w:top w:val="none" w:sz="0" w:space="0" w:color="auto"/>
        <w:left w:val="none" w:sz="0" w:space="0" w:color="auto"/>
        <w:bottom w:val="none" w:sz="0" w:space="0" w:color="auto"/>
        <w:right w:val="none" w:sz="0" w:space="0" w:color="auto"/>
      </w:divBdr>
    </w:div>
    <w:div w:id="586351422">
      <w:bodyDiv w:val="1"/>
      <w:marLeft w:val="0"/>
      <w:marRight w:val="0"/>
      <w:marTop w:val="0"/>
      <w:marBottom w:val="0"/>
      <w:divBdr>
        <w:top w:val="none" w:sz="0" w:space="0" w:color="auto"/>
        <w:left w:val="none" w:sz="0" w:space="0" w:color="auto"/>
        <w:bottom w:val="none" w:sz="0" w:space="0" w:color="auto"/>
        <w:right w:val="none" w:sz="0" w:space="0" w:color="auto"/>
      </w:divBdr>
    </w:div>
    <w:div w:id="716781338">
      <w:bodyDiv w:val="1"/>
      <w:marLeft w:val="0"/>
      <w:marRight w:val="0"/>
      <w:marTop w:val="0"/>
      <w:marBottom w:val="0"/>
      <w:divBdr>
        <w:top w:val="none" w:sz="0" w:space="0" w:color="auto"/>
        <w:left w:val="none" w:sz="0" w:space="0" w:color="auto"/>
        <w:bottom w:val="none" w:sz="0" w:space="0" w:color="auto"/>
        <w:right w:val="none" w:sz="0" w:space="0" w:color="auto"/>
      </w:divBdr>
    </w:div>
    <w:div w:id="757749964">
      <w:bodyDiv w:val="1"/>
      <w:marLeft w:val="0"/>
      <w:marRight w:val="0"/>
      <w:marTop w:val="0"/>
      <w:marBottom w:val="0"/>
      <w:divBdr>
        <w:top w:val="none" w:sz="0" w:space="0" w:color="auto"/>
        <w:left w:val="none" w:sz="0" w:space="0" w:color="auto"/>
        <w:bottom w:val="none" w:sz="0" w:space="0" w:color="auto"/>
        <w:right w:val="none" w:sz="0" w:space="0" w:color="auto"/>
      </w:divBdr>
    </w:div>
    <w:div w:id="871457137">
      <w:bodyDiv w:val="1"/>
      <w:marLeft w:val="0"/>
      <w:marRight w:val="0"/>
      <w:marTop w:val="0"/>
      <w:marBottom w:val="0"/>
      <w:divBdr>
        <w:top w:val="none" w:sz="0" w:space="0" w:color="auto"/>
        <w:left w:val="none" w:sz="0" w:space="0" w:color="auto"/>
        <w:bottom w:val="none" w:sz="0" w:space="0" w:color="auto"/>
        <w:right w:val="none" w:sz="0" w:space="0" w:color="auto"/>
      </w:divBdr>
    </w:div>
    <w:div w:id="1003240148">
      <w:bodyDiv w:val="1"/>
      <w:marLeft w:val="0"/>
      <w:marRight w:val="0"/>
      <w:marTop w:val="0"/>
      <w:marBottom w:val="0"/>
      <w:divBdr>
        <w:top w:val="none" w:sz="0" w:space="0" w:color="auto"/>
        <w:left w:val="none" w:sz="0" w:space="0" w:color="auto"/>
        <w:bottom w:val="none" w:sz="0" w:space="0" w:color="auto"/>
        <w:right w:val="none" w:sz="0" w:space="0" w:color="auto"/>
      </w:divBdr>
    </w:div>
    <w:div w:id="1145128385">
      <w:bodyDiv w:val="1"/>
      <w:marLeft w:val="0"/>
      <w:marRight w:val="0"/>
      <w:marTop w:val="0"/>
      <w:marBottom w:val="0"/>
      <w:divBdr>
        <w:top w:val="none" w:sz="0" w:space="0" w:color="auto"/>
        <w:left w:val="none" w:sz="0" w:space="0" w:color="auto"/>
        <w:bottom w:val="none" w:sz="0" w:space="0" w:color="auto"/>
        <w:right w:val="none" w:sz="0" w:space="0" w:color="auto"/>
      </w:divBdr>
    </w:div>
    <w:div w:id="1151797431">
      <w:bodyDiv w:val="1"/>
      <w:marLeft w:val="0"/>
      <w:marRight w:val="0"/>
      <w:marTop w:val="0"/>
      <w:marBottom w:val="0"/>
      <w:divBdr>
        <w:top w:val="none" w:sz="0" w:space="0" w:color="auto"/>
        <w:left w:val="none" w:sz="0" w:space="0" w:color="auto"/>
        <w:bottom w:val="none" w:sz="0" w:space="0" w:color="auto"/>
        <w:right w:val="none" w:sz="0" w:space="0" w:color="auto"/>
      </w:divBdr>
      <w:divsChild>
        <w:div w:id="291714768">
          <w:marLeft w:val="0"/>
          <w:marRight w:val="300"/>
          <w:marTop w:val="0"/>
          <w:marBottom w:val="0"/>
          <w:divBdr>
            <w:top w:val="none" w:sz="0" w:space="0" w:color="auto"/>
            <w:left w:val="none" w:sz="0" w:space="0" w:color="auto"/>
            <w:bottom w:val="none" w:sz="0" w:space="0" w:color="auto"/>
            <w:right w:val="none" w:sz="0" w:space="0" w:color="auto"/>
          </w:divBdr>
        </w:div>
        <w:div w:id="171185369">
          <w:marLeft w:val="0"/>
          <w:marRight w:val="300"/>
          <w:marTop w:val="0"/>
          <w:marBottom w:val="0"/>
          <w:divBdr>
            <w:top w:val="none" w:sz="0" w:space="0" w:color="auto"/>
            <w:left w:val="none" w:sz="0" w:space="0" w:color="auto"/>
            <w:bottom w:val="none" w:sz="0" w:space="0" w:color="auto"/>
            <w:right w:val="none" w:sz="0" w:space="0" w:color="auto"/>
          </w:divBdr>
        </w:div>
      </w:divsChild>
    </w:div>
    <w:div w:id="1257901893">
      <w:bodyDiv w:val="1"/>
      <w:marLeft w:val="0"/>
      <w:marRight w:val="0"/>
      <w:marTop w:val="0"/>
      <w:marBottom w:val="0"/>
      <w:divBdr>
        <w:top w:val="none" w:sz="0" w:space="0" w:color="auto"/>
        <w:left w:val="none" w:sz="0" w:space="0" w:color="auto"/>
        <w:bottom w:val="none" w:sz="0" w:space="0" w:color="auto"/>
        <w:right w:val="none" w:sz="0" w:space="0" w:color="auto"/>
      </w:divBdr>
    </w:div>
    <w:div w:id="1364280284">
      <w:bodyDiv w:val="1"/>
      <w:marLeft w:val="0"/>
      <w:marRight w:val="0"/>
      <w:marTop w:val="0"/>
      <w:marBottom w:val="0"/>
      <w:divBdr>
        <w:top w:val="none" w:sz="0" w:space="0" w:color="auto"/>
        <w:left w:val="none" w:sz="0" w:space="0" w:color="auto"/>
        <w:bottom w:val="none" w:sz="0" w:space="0" w:color="auto"/>
        <w:right w:val="none" w:sz="0" w:space="0" w:color="auto"/>
      </w:divBdr>
    </w:div>
    <w:div w:id="1478182294">
      <w:bodyDiv w:val="1"/>
      <w:marLeft w:val="0"/>
      <w:marRight w:val="0"/>
      <w:marTop w:val="0"/>
      <w:marBottom w:val="0"/>
      <w:divBdr>
        <w:top w:val="none" w:sz="0" w:space="0" w:color="auto"/>
        <w:left w:val="none" w:sz="0" w:space="0" w:color="auto"/>
        <w:bottom w:val="none" w:sz="0" w:space="0" w:color="auto"/>
        <w:right w:val="none" w:sz="0" w:space="0" w:color="auto"/>
      </w:divBdr>
    </w:div>
    <w:div w:id="1511481148">
      <w:bodyDiv w:val="1"/>
      <w:marLeft w:val="0"/>
      <w:marRight w:val="0"/>
      <w:marTop w:val="0"/>
      <w:marBottom w:val="0"/>
      <w:divBdr>
        <w:top w:val="none" w:sz="0" w:space="0" w:color="auto"/>
        <w:left w:val="none" w:sz="0" w:space="0" w:color="auto"/>
        <w:bottom w:val="none" w:sz="0" w:space="0" w:color="auto"/>
        <w:right w:val="none" w:sz="0" w:space="0" w:color="auto"/>
      </w:divBdr>
    </w:div>
    <w:div w:id="1531724154">
      <w:marLeft w:val="0"/>
      <w:marRight w:val="0"/>
      <w:marTop w:val="0"/>
      <w:marBottom w:val="0"/>
      <w:divBdr>
        <w:top w:val="none" w:sz="0" w:space="0" w:color="auto"/>
        <w:left w:val="none" w:sz="0" w:space="0" w:color="auto"/>
        <w:bottom w:val="none" w:sz="0" w:space="0" w:color="auto"/>
        <w:right w:val="none" w:sz="0" w:space="0" w:color="auto"/>
      </w:divBdr>
    </w:div>
    <w:div w:id="1531724155">
      <w:marLeft w:val="0"/>
      <w:marRight w:val="0"/>
      <w:marTop w:val="0"/>
      <w:marBottom w:val="0"/>
      <w:divBdr>
        <w:top w:val="none" w:sz="0" w:space="0" w:color="auto"/>
        <w:left w:val="none" w:sz="0" w:space="0" w:color="auto"/>
        <w:bottom w:val="none" w:sz="0" w:space="0" w:color="auto"/>
        <w:right w:val="none" w:sz="0" w:space="0" w:color="auto"/>
      </w:divBdr>
    </w:div>
    <w:div w:id="1531724156">
      <w:marLeft w:val="0"/>
      <w:marRight w:val="0"/>
      <w:marTop w:val="0"/>
      <w:marBottom w:val="0"/>
      <w:divBdr>
        <w:top w:val="none" w:sz="0" w:space="0" w:color="auto"/>
        <w:left w:val="none" w:sz="0" w:space="0" w:color="auto"/>
        <w:bottom w:val="none" w:sz="0" w:space="0" w:color="auto"/>
        <w:right w:val="none" w:sz="0" w:space="0" w:color="auto"/>
      </w:divBdr>
    </w:div>
    <w:div w:id="1531724157">
      <w:marLeft w:val="0"/>
      <w:marRight w:val="0"/>
      <w:marTop w:val="0"/>
      <w:marBottom w:val="0"/>
      <w:divBdr>
        <w:top w:val="none" w:sz="0" w:space="0" w:color="auto"/>
        <w:left w:val="none" w:sz="0" w:space="0" w:color="auto"/>
        <w:bottom w:val="none" w:sz="0" w:space="0" w:color="auto"/>
        <w:right w:val="none" w:sz="0" w:space="0" w:color="auto"/>
      </w:divBdr>
    </w:div>
    <w:div w:id="1531724158">
      <w:marLeft w:val="0"/>
      <w:marRight w:val="0"/>
      <w:marTop w:val="0"/>
      <w:marBottom w:val="0"/>
      <w:divBdr>
        <w:top w:val="none" w:sz="0" w:space="0" w:color="auto"/>
        <w:left w:val="none" w:sz="0" w:space="0" w:color="auto"/>
        <w:bottom w:val="none" w:sz="0" w:space="0" w:color="auto"/>
        <w:right w:val="none" w:sz="0" w:space="0" w:color="auto"/>
      </w:divBdr>
    </w:div>
    <w:div w:id="1531724159">
      <w:marLeft w:val="0"/>
      <w:marRight w:val="0"/>
      <w:marTop w:val="0"/>
      <w:marBottom w:val="0"/>
      <w:divBdr>
        <w:top w:val="none" w:sz="0" w:space="0" w:color="auto"/>
        <w:left w:val="none" w:sz="0" w:space="0" w:color="auto"/>
        <w:bottom w:val="none" w:sz="0" w:space="0" w:color="auto"/>
        <w:right w:val="none" w:sz="0" w:space="0" w:color="auto"/>
      </w:divBdr>
    </w:div>
    <w:div w:id="1531724160">
      <w:marLeft w:val="0"/>
      <w:marRight w:val="0"/>
      <w:marTop w:val="0"/>
      <w:marBottom w:val="0"/>
      <w:divBdr>
        <w:top w:val="none" w:sz="0" w:space="0" w:color="auto"/>
        <w:left w:val="none" w:sz="0" w:space="0" w:color="auto"/>
        <w:bottom w:val="none" w:sz="0" w:space="0" w:color="auto"/>
        <w:right w:val="none" w:sz="0" w:space="0" w:color="auto"/>
      </w:divBdr>
    </w:div>
    <w:div w:id="1531724161">
      <w:marLeft w:val="0"/>
      <w:marRight w:val="0"/>
      <w:marTop w:val="0"/>
      <w:marBottom w:val="0"/>
      <w:divBdr>
        <w:top w:val="none" w:sz="0" w:space="0" w:color="auto"/>
        <w:left w:val="none" w:sz="0" w:space="0" w:color="auto"/>
        <w:bottom w:val="none" w:sz="0" w:space="0" w:color="auto"/>
        <w:right w:val="none" w:sz="0" w:space="0" w:color="auto"/>
      </w:divBdr>
    </w:div>
    <w:div w:id="1531724164">
      <w:marLeft w:val="0"/>
      <w:marRight w:val="0"/>
      <w:marTop w:val="0"/>
      <w:marBottom w:val="0"/>
      <w:divBdr>
        <w:top w:val="none" w:sz="0" w:space="0" w:color="auto"/>
        <w:left w:val="none" w:sz="0" w:space="0" w:color="auto"/>
        <w:bottom w:val="none" w:sz="0" w:space="0" w:color="auto"/>
        <w:right w:val="none" w:sz="0" w:space="0" w:color="auto"/>
      </w:divBdr>
    </w:div>
    <w:div w:id="1531724165">
      <w:marLeft w:val="0"/>
      <w:marRight w:val="0"/>
      <w:marTop w:val="0"/>
      <w:marBottom w:val="0"/>
      <w:divBdr>
        <w:top w:val="none" w:sz="0" w:space="0" w:color="auto"/>
        <w:left w:val="none" w:sz="0" w:space="0" w:color="auto"/>
        <w:bottom w:val="none" w:sz="0" w:space="0" w:color="auto"/>
        <w:right w:val="none" w:sz="0" w:space="0" w:color="auto"/>
      </w:divBdr>
    </w:div>
    <w:div w:id="1531724169">
      <w:marLeft w:val="0"/>
      <w:marRight w:val="0"/>
      <w:marTop w:val="0"/>
      <w:marBottom w:val="0"/>
      <w:divBdr>
        <w:top w:val="none" w:sz="0" w:space="0" w:color="auto"/>
        <w:left w:val="none" w:sz="0" w:space="0" w:color="auto"/>
        <w:bottom w:val="none" w:sz="0" w:space="0" w:color="auto"/>
        <w:right w:val="none" w:sz="0" w:space="0" w:color="auto"/>
      </w:divBdr>
      <w:divsChild>
        <w:div w:id="1531724174">
          <w:marLeft w:val="-225"/>
          <w:marRight w:val="-225"/>
          <w:marTop w:val="0"/>
          <w:marBottom w:val="0"/>
          <w:divBdr>
            <w:top w:val="none" w:sz="0" w:space="0" w:color="auto"/>
            <w:left w:val="none" w:sz="0" w:space="0" w:color="auto"/>
            <w:bottom w:val="none" w:sz="0" w:space="0" w:color="auto"/>
            <w:right w:val="none" w:sz="0" w:space="0" w:color="auto"/>
          </w:divBdr>
          <w:divsChild>
            <w:div w:id="1531724179">
              <w:marLeft w:val="0"/>
              <w:marRight w:val="0"/>
              <w:marTop w:val="0"/>
              <w:marBottom w:val="0"/>
              <w:divBdr>
                <w:top w:val="none" w:sz="0" w:space="0" w:color="auto"/>
                <w:left w:val="none" w:sz="0" w:space="0" w:color="auto"/>
                <w:bottom w:val="none" w:sz="0" w:space="0" w:color="auto"/>
                <w:right w:val="none" w:sz="0" w:space="0" w:color="auto"/>
              </w:divBdr>
              <w:divsChild>
                <w:div w:id="1531724181">
                  <w:marLeft w:val="0"/>
                  <w:marRight w:val="0"/>
                  <w:marTop w:val="0"/>
                  <w:marBottom w:val="0"/>
                  <w:divBdr>
                    <w:top w:val="none" w:sz="0" w:space="0" w:color="auto"/>
                    <w:left w:val="none" w:sz="0" w:space="0" w:color="auto"/>
                    <w:bottom w:val="none" w:sz="0" w:space="0" w:color="auto"/>
                    <w:right w:val="none" w:sz="0" w:space="0" w:color="auto"/>
                  </w:divBdr>
                  <w:divsChild>
                    <w:div w:id="153172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724176">
          <w:marLeft w:val="0"/>
          <w:marRight w:val="0"/>
          <w:marTop w:val="0"/>
          <w:marBottom w:val="0"/>
          <w:divBdr>
            <w:top w:val="none" w:sz="0" w:space="0" w:color="auto"/>
            <w:left w:val="none" w:sz="0" w:space="0" w:color="auto"/>
            <w:bottom w:val="none" w:sz="0" w:space="0" w:color="auto"/>
            <w:right w:val="none" w:sz="0" w:space="0" w:color="auto"/>
          </w:divBdr>
          <w:divsChild>
            <w:div w:id="1531724172">
              <w:marLeft w:val="-225"/>
              <w:marRight w:val="-225"/>
              <w:marTop w:val="0"/>
              <w:marBottom w:val="0"/>
              <w:divBdr>
                <w:top w:val="none" w:sz="0" w:space="0" w:color="auto"/>
                <w:left w:val="none" w:sz="0" w:space="0" w:color="auto"/>
                <w:bottom w:val="none" w:sz="0" w:space="0" w:color="auto"/>
                <w:right w:val="none" w:sz="0" w:space="0" w:color="auto"/>
              </w:divBdr>
              <w:divsChild>
                <w:div w:id="153172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724170">
      <w:marLeft w:val="0"/>
      <w:marRight w:val="0"/>
      <w:marTop w:val="0"/>
      <w:marBottom w:val="0"/>
      <w:divBdr>
        <w:top w:val="none" w:sz="0" w:space="0" w:color="auto"/>
        <w:left w:val="none" w:sz="0" w:space="0" w:color="auto"/>
        <w:bottom w:val="none" w:sz="0" w:space="0" w:color="auto"/>
        <w:right w:val="none" w:sz="0" w:space="0" w:color="auto"/>
      </w:divBdr>
    </w:div>
    <w:div w:id="1531724171">
      <w:marLeft w:val="0"/>
      <w:marRight w:val="0"/>
      <w:marTop w:val="0"/>
      <w:marBottom w:val="0"/>
      <w:divBdr>
        <w:top w:val="none" w:sz="0" w:space="0" w:color="auto"/>
        <w:left w:val="none" w:sz="0" w:space="0" w:color="auto"/>
        <w:bottom w:val="none" w:sz="0" w:space="0" w:color="auto"/>
        <w:right w:val="none" w:sz="0" w:space="0" w:color="auto"/>
      </w:divBdr>
      <w:divsChild>
        <w:div w:id="1531724163">
          <w:marLeft w:val="0"/>
          <w:marRight w:val="0"/>
          <w:marTop w:val="0"/>
          <w:marBottom w:val="0"/>
          <w:divBdr>
            <w:top w:val="none" w:sz="0" w:space="0" w:color="auto"/>
            <w:left w:val="none" w:sz="0" w:space="0" w:color="auto"/>
            <w:bottom w:val="none" w:sz="0" w:space="0" w:color="auto"/>
            <w:right w:val="none" w:sz="0" w:space="0" w:color="auto"/>
          </w:divBdr>
          <w:divsChild>
            <w:div w:id="1531724178">
              <w:marLeft w:val="-225"/>
              <w:marRight w:val="-225"/>
              <w:marTop w:val="0"/>
              <w:marBottom w:val="0"/>
              <w:divBdr>
                <w:top w:val="none" w:sz="0" w:space="0" w:color="auto"/>
                <w:left w:val="none" w:sz="0" w:space="0" w:color="auto"/>
                <w:bottom w:val="none" w:sz="0" w:space="0" w:color="auto"/>
                <w:right w:val="none" w:sz="0" w:space="0" w:color="auto"/>
              </w:divBdr>
              <w:divsChild>
                <w:div w:id="153172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724167">
          <w:marLeft w:val="-225"/>
          <w:marRight w:val="-225"/>
          <w:marTop w:val="0"/>
          <w:marBottom w:val="0"/>
          <w:divBdr>
            <w:top w:val="none" w:sz="0" w:space="0" w:color="auto"/>
            <w:left w:val="none" w:sz="0" w:space="0" w:color="auto"/>
            <w:bottom w:val="none" w:sz="0" w:space="0" w:color="auto"/>
            <w:right w:val="none" w:sz="0" w:space="0" w:color="auto"/>
          </w:divBdr>
          <w:divsChild>
            <w:div w:id="1531724180">
              <w:marLeft w:val="0"/>
              <w:marRight w:val="0"/>
              <w:marTop w:val="0"/>
              <w:marBottom w:val="0"/>
              <w:divBdr>
                <w:top w:val="none" w:sz="0" w:space="0" w:color="auto"/>
                <w:left w:val="none" w:sz="0" w:space="0" w:color="auto"/>
                <w:bottom w:val="none" w:sz="0" w:space="0" w:color="auto"/>
                <w:right w:val="none" w:sz="0" w:space="0" w:color="auto"/>
              </w:divBdr>
              <w:divsChild>
                <w:div w:id="1531724162">
                  <w:marLeft w:val="0"/>
                  <w:marRight w:val="0"/>
                  <w:marTop w:val="0"/>
                  <w:marBottom w:val="0"/>
                  <w:divBdr>
                    <w:top w:val="none" w:sz="0" w:space="0" w:color="auto"/>
                    <w:left w:val="none" w:sz="0" w:space="0" w:color="auto"/>
                    <w:bottom w:val="none" w:sz="0" w:space="0" w:color="auto"/>
                    <w:right w:val="none" w:sz="0" w:space="0" w:color="auto"/>
                  </w:divBdr>
                  <w:divsChild>
                    <w:div w:id="153172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724175">
      <w:marLeft w:val="0"/>
      <w:marRight w:val="0"/>
      <w:marTop w:val="0"/>
      <w:marBottom w:val="0"/>
      <w:divBdr>
        <w:top w:val="none" w:sz="0" w:space="0" w:color="auto"/>
        <w:left w:val="none" w:sz="0" w:space="0" w:color="auto"/>
        <w:bottom w:val="none" w:sz="0" w:space="0" w:color="auto"/>
        <w:right w:val="none" w:sz="0" w:space="0" w:color="auto"/>
      </w:divBdr>
    </w:div>
    <w:div w:id="1531724177">
      <w:marLeft w:val="0"/>
      <w:marRight w:val="0"/>
      <w:marTop w:val="0"/>
      <w:marBottom w:val="0"/>
      <w:divBdr>
        <w:top w:val="none" w:sz="0" w:space="0" w:color="auto"/>
        <w:left w:val="none" w:sz="0" w:space="0" w:color="auto"/>
        <w:bottom w:val="none" w:sz="0" w:space="0" w:color="auto"/>
        <w:right w:val="none" w:sz="0" w:space="0" w:color="auto"/>
      </w:divBdr>
    </w:div>
    <w:div w:id="1531724183">
      <w:marLeft w:val="0"/>
      <w:marRight w:val="0"/>
      <w:marTop w:val="0"/>
      <w:marBottom w:val="0"/>
      <w:divBdr>
        <w:top w:val="none" w:sz="0" w:space="0" w:color="auto"/>
        <w:left w:val="none" w:sz="0" w:space="0" w:color="auto"/>
        <w:bottom w:val="none" w:sz="0" w:space="0" w:color="auto"/>
        <w:right w:val="none" w:sz="0" w:space="0" w:color="auto"/>
      </w:divBdr>
    </w:div>
    <w:div w:id="1531724184">
      <w:marLeft w:val="0"/>
      <w:marRight w:val="0"/>
      <w:marTop w:val="0"/>
      <w:marBottom w:val="0"/>
      <w:divBdr>
        <w:top w:val="none" w:sz="0" w:space="0" w:color="auto"/>
        <w:left w:val="none" w:sz="0" w:space="0" w:color="auto"/>
        <w:bottom w:val="none" w:sz="0" w:space="0" w:color="auto"/>
        <w:right w:val="none" w:sz="0" w:space="0" w:color="auto"/>
      </w:divBdr>
    </w:div>
    <w:div w:id="1531724185">
      <w:marLeft w:val="0"/>
      <w:marRight w:val="0"/>
      <w:marTop w:val="0"/>
      <w:marBottom w:val="0"/>
      <w:divBdr>
        <w:top w:val="none" w:sz="0" w:space="0" w:color="auto"/>
        <w:left w:val="none" w:sz="0" w:space="0" w:color="auto"/>
        <w:bottom w:val="none" w:sz="0" w:space="0" w:color="auto"/>
        <w:right w:val="none" w:sz="0" w:space="0" w:color="auto"/>
      </w:divBdr>
    </w:div>
    <w:div w:id="1531724186">
      <w:marLeft w:val="0"/>
      <w:marRight w:val="0"/>
      <w:marTop w:val="0"/>
      <w:marBottom w:val="0"/>
      <w:divBdr>
        <w:top w:val="none" w:sz="0" w:space="0" w:color="auto"/>
        <w:left w:val="none" w:sz="0" w:space="0" w:color="auto"/>
        <w:bottom w:val="none" w:sz="0" w:space="0" w:color="auto"/>
        <w:right w:val="none" w:sz="0" w:space="0" w:color="auto"/>
      </w:divBdr>
    </w:div>
    <w:div w:id="1536850522">
      <w:bodyDiv w:val="1"/>
      <w:marLeft w:val="0"/>
      <w:marRight w:val="0"/>
      <w:marTop w:val="0"/>
      <w:marBottom w:val="0"/>
      <w:divBdr>
        <w:top w:val="none" w:sz="0" w:space="0" w:color="auto"/>
        <w:left w:val="none" w:sz="0" w:space="0" w:color="auto"/>
        <w:bottom w:val="none" w:sz="0" w:space="0" w:color="auto"/>
        <w:right w:val="none" w:sz="0" w:space="0" w:color="auto"/>
      </w:divBdr>
    </w:div>
    <w:div w:id="1537546445">
      <w:bodyDiv w:val="1"/>
      <w:marLeft w:val="0"/>
      <w:marRight w:val="0"/>
      <w:marTop w:val="0"/>
      <w:marBottom w:val="0"/>
      <w:divBdr>
        <w:top w:val="none" w:sz="0" w:space="0" w:color="auto"/>
        <w:left w:val="none" w:sz="0" w:space="0" w:color="auto"/>
        <w:bottom w:val="none" w:sz="0" w:space="0" w:color="auto"/>
        <w:right w:val="none" w:sz="0" w:space="0" w:color="auto"/>
      </w:divBdr>
    </w:div>
    <w:div w:id="1578830960">
      <w:bodyDiv w:val="1"/>
      <w:marLeft w:val="0"/>
      <w:marRight w:val="0"/>
      <w:marTop w:val="0"/>
      <w:marBottom w:val="0"/>
      <w:divBdr>
        <w:top w:val="none" w:sz="0" w:space="0" w:color="auto"/>
        <w:left w:val="none" w:sz="0" w:space="0" w:color="auto"/>
        <w:bottom w:val="none" w:sz="0" w:space="0" w:color="auto"/>
        <w:right w:val="none" w:sz="0" w:space="0" w:color="auto"/>
      </w:divBdr>
    </w:div>
    <w:div w:id="1623345741">
      <w:bodyDiv w:val="1"/>
      <w:marLeft w:val="0"/>
      <w:marRight w:val="0"/>
      <w:marTop w:val="0"/>
      <w:marBottom w:val="0"/>
      <w:divBdr>
        <w:top w:val="none" w:sz="0" w:space="0" w:color="auto"/>
        <w:left w:val="none" w:sz="0" w:space="0" w:color="auto"/>
        <w:bottom w:val="none" w:sz="0" w:space="0" w:color="auto"/>
        <w:right w:val="none" w:sz="0" w:space="0" w:color="auto"/>
      </w:divBdr>
    </w:div>
    <w:div w:id="1671172671">
      <w:bodyDiv w:val="1"/>
      <w:marLeft w:val="0"/>
      <w:marRight w:val="0"/>
      <w:marTop w:val="0"/>
      <w:marBottom w:val="0"/>
      <w:divBdr>
        <w:top w:val="none" w:sz="0" w:space="0" w:color="auto"/>
        <w:left w:val="none" w:sz="0" w:space="0" w:color="auto"/>
        <w:bottom w:val="none" w:sz="0" w:space="0" w:color="auto"/>
        <w:right w:val="none" w:sz="0" w:space="0" w:color="auto"/>
      </w:divBdr>
    </w:div>
    <w:div w:id="1784836191">
      <w:bodyDiv w:val="1"/>
      <w:marLeft w:val="0"/>
      <w:marRight w:val="0"/>
      <w:marTop w:val="0"/>
      <w:marBottom w:val="0"/>
      <w:divBdr>
        <w:top w:val="none" w:sz="0" w:space="0" w:color="auto"/>
        <w:left w:val="none" w:sz="0" w:space="0" w:color="auto"/>
        <w:bottom w:val="none" w:sz="0" w:space="0" w:color="auto"/>
        <w:right w:val="none" w:sz="0" w:space="0" w:color="auto"/>
      </w:divBdr>
    </w:div>
    <w:div w:id="1806586116">
      <w:bodyDiv w:val="1"/>
      <w:marLeft w:val="0"/>
      <w:marRight w:val="0"/>
      <w:marTop w:val="0"/>
      <w:marBottom w:val="0"/>
      <w:divBdr>
        <w:top w:val="none" w:sz="0" w:space="0" w:color="auto"/>
        <w:left w:val="none" w:sz="0" w:space="0" w:color="auto"/>
        <w:bottom w:val="none" w:sz="0" w:space="0" w:color="auto"/>
        <w:right w:val="none" w:sz="0" w:space="0" w:color="auto"/>
      </w:divBdr>
    </w:div>
    <w:div w:id="1818260392">
      <w:bodyDiv w:val="1"/>
      <w:marLeft w:val="0"/>
      <w:marRight w:val="0"/>
      <w:marTop w:val="0"/>
      <w:marBottom w:val="0"/>
      <w:divBdr>
        <w:top w:val="none" w:sz="0" w:space="0" w:color="auto"/>
        <w:left w:val="none" w:sz="0" w:space="0" w:color="auto"/>
        <w:bottom w:val="none" w:sz="0" w:space="0" w:color="auto"/>
        <w:right w:val="none" w:sz="0" w:space="0" w:color="auto"/>
      </w:divBdr>
    </w:div>
    <w:div w:id="1841659472">
      <w:bodyDiv w:val="1"/>
      <w:marLeft w:val="0"/>
      <w:marRight w:val="0"/>
      <w:marTop w:val="0"/>
      <w:marBottom w:val="0"/>
      <w:divBdr>
        <w:top w:val="none" w:sz="0" w:space="0" w:color="auto"/>
        <w:left w:val="none" w:sz="0" w:space="0" w:color="auto"/>
        <w:bottom w:val="none" w:sz="0" w:space="0" w:color="auto"/>
        <w:right w:val="none" w:sz="0" w:space="0" w:color="auto"/>
      </w:divBdr>
    </w:div>
    <w:div w:id="192224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consultation.dpmc.govt.nz/un-cybercrime-convention/principlesandobjectives/" TargetMode="External"/><Relationship Id="rId13" Type="http://schemas.openxmlformats.org/officeDocument/2006/relationships/hyperlink" Target="https://coronialservices.justice.govt.nz/masjid-attacks-coronial-proces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dia.govt.nz/diawebsite.nsf/Files/Countering-violent-extremism-online/$file/DVE-Transparency-Report-2021.pdf" TargetMode="External"/><Relationship Id="rId12" Type="http://schemas.openxmlformats.org/officeDocument/2006/relationships/hyperlink" Target="https://www.justice.govt.nz/justice-sector-policy/key-initiatives/ssa/"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pmc.govt.nz/our-programmes/national-security/intelligence-and-security-act-2017/intelligence-and-security-act" TargetMode="External"/><Relationship Id="rId5" Type="http://schemas.openxmlformats.org/officeDocument/2006/relationships/footnotes" Target="footnotes.xml"/><Relationship Id="rId15" Type="http://schemas.openxmlformats.org/officeDocument/2006/relationships/hyperlink" Target="https://www.ethniccommunities.govt.nz/news/government-launches-ethnic-communities-employment-action-plan/" TargetMode="External"/><Relationship Id="rId10" Type="http://schemas.openxmlformats.org/officeDocument/2006/relationships/hyperlink" Target="mailto:UNcybercrimeconvention@dpmc.govt.nz"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pmc.govt.nz/our-programmes/national-security/cyber-security-strategy/united-nations-cybercrime-treaty" TargetMode="External"/><Relationship Id="rId14" Type="http://schemas.openxmlformats.org/officeDocument/2006/relationships/hyperlink" Target="https://www.counterhate.com/anti-muslim-hate"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1428</Words>
  <Characters>8708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Cox [DPMC]</dc:creator>
  <cp:keywords/>
  <dc:description/>
  <cp:lastModifiedBy>Rachael Cox [DPMC]</cp:lastModifiedBy>
  <cp:revision>7</cp:revision>
  <dcterms:created xsi:type="dcterms:W3CDTF">2022-05-04T21:42:00Z</dcterms:created>
  <dcterms:modified xsi:type="dcterms:W3CDTF">2022-06-07T06:37:00Z</dcterms:modified>
</cp:coreProperties>
</file>