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A89E0" w14:textId="04D5460C" w:rsidR="000D1B0B" w:rsidRPr="00AB51CC" w:rsidRDefault="006866AF" w:rsidP="00096ADF">
      <w:pPr>
        <w:pStyle w:val="Title"/>
      </w:pPr>
      <w:bookmarkStart w:id="0" w:name="_Toc193710516"/>
      <w:bookmarkStart w:id="1" w:name="_Hlk196380349"/>
      <w:bookmarkStart w:id="2" w:name="_Hlk196380542"/>
      <w:bookmarkStart w:id="3" w:name="_Hlk198814033"/>
      <w:r w:rsidRPr="00AB51CC">
        <w:drawing>
          <wp:anchor distT="0" distB="0" distL="114300" distR="114300" simplePos="0" relativeHeight="251682846" behindDoc="1" locked="0" layoutInCell="1" allowOverlap="1" wp14:anchorId="5ABCFF76" wp14:editId="5BFAEA77">
            <wp:simplePos x="0" y="0"/>
            <wp:positionH relativeFrom="page">
              <wp:posOffset>5080</wp:posOffset>
            </wp:positionH>
            <wp:positionV relativeFrom="page">
              <wp:posOffset>5286</wp:posOffset>
            </wp:positionV>
            <wp:extent cx="7556399" cy="10686495"/>
            <wp:effectExtent l="0" t="0" r="6985" b="635"/>
            <wp:wrapNone/>
            <wp:docPr id="13854462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46298"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6399" cy="10686495"/>
                    </a:xfrm>
                    <a:prstGeom prst="rect">
                      <a:avLst/>
                    </a:prstGeom>
                  </pic:spPr>
                </pic:pic>
              </a:graphicData>
            </a:graphic>
            <wp14:sizeRelH relativeFrom="margin">
              <wp14:pctWidth>0</wp14:pctWidth>
            </wp14:sizeRelH>
            <wp14:sizeRelV relativeFrom="margin">
              <wp14:pctHeight>0</wp14:pctHeight>
            </wp14:sizeRelV>
          </wp:anchor>
        </w:drawing>
      </w:r>
      <w:r w:rsidR="00F24A48" w:rsidRPr="00AB51CC">
        <w:t>En</w:t>
      </w:r>
      <w:bookmarkStart w:id="4" w:name="_Toc199229202"/>
      <w:bookmarkStart w:id="5" w:name="_Toc201043456"/>
      <w:bookmarkEnd w:id="0"/>
      <w:r w:rsidR="00F24A48" w:rsidRPr="00AB51CC">
        <w:t>hancing the c</w:t>
      </w:r>
      <w:r w:rsidR="0046717C" w:rsidRPr="00AB51CC">
        <w:t>yber</w:t>
      </w:r>
      <w:r w:rsidR="00AB51CC">
        <w:t> </w:t>
      </w:r>
      <w:r w:rsidR="000E5B63" w:rsidRPr="00AB51CC">
        <w:t>s</w:t>
      </w:r>
      <w:r w:rsidR="007B2F0B" w:rsidRPr="00AB51CC">
        <w:t xml:space="preserve">ecurity of </w:t>
      </w:r>
      <w:bookmarkStart w:id="6" w:name="_Toc197012702"/>
      <w:r w:rsidR="00E137F7" w:rsidRPr="00AB51CC">
        <w:t>New Zealand</w:t>
      </w:r>
      <w:r w:rsidR="000D1B0B" w:rsidRPr="00AB51CC">
        <w:t>’s critical infrastructure system</w:t>
      </w:r>
      <w:bookmarkEnd w:id="4"/>
      <w:bookmarkEnd w:id="5"/>
      <w:bookmarkEnd w:id="6"/>
    </w:p>
    <w:p w14:paraId="5DB835FB" w14:textId="54E53611" w:rsidR="000D1B0B" w:rsidRPr="000F3A01" w:rsidRDefault="0070535B" w:rsidP="00096ADF">
      <w:pPr>
        <w:pStyle w:val="Introduction"/>
        <w:rPr>
          <w:b/>
        </w:rPr>
      </w:pPr>
      <w:r w:rsidRPr="000F3A01">
        <w:t>Digitally</w:t>
      </w:r>
      <w:r w:rsidR="005A641D">
        <w:t xml:space="preserve"> </w:t>
      </w:r>
      <w:r w:rsidRPr="000F3A01">
        <w:t xml:space="preserve">resilient critical infrastructure services </w:t>
      </w:r>
      <w:r w:rsidR="00096ADF">
        <w:br/>
      </w:r>
      <w:r w:rsidR="00D17640" w:rsidRPr="000F3A01">
        <w:t>to</w:t>
      </w:r>
      <w:r w:rsidR="00AB51CC">
        <w:t> </w:t>
      </w:r>
      <w:r w:rsidRPr="000F3A01">
        <w:t xml:space="preserve">power </w:t>
      </w:r>
      <w:r w:rsidR="00D17640" w:rsidRPr="000F3A01">
        <w:t xml:space="preserve">New Zealand’s </w:t>
      </w:r>
      <w:r w:rsidR="005D5DA9" w:rsidRPr="000F3A01">
        <w:t>e</w:t>
      </w:r>
      <w:r w:rsidRPr="000F3A01">
        <w:t xml:space="preserve">conomy and protect </w:t>
      </w:r>
      <w:r w:rsidR="00096ADF">
        <w:br/>
      </w:r>
      <w:r w:rsidRPr="000F3A01">
        <w:t>our communities</w:t>
      </w:r>
    </w:p>
    <w:p w14:paraId="6C29F146" w14:textId="081F0FA5" w:rsidR="00D06DA2" w:rsidRPr="003830B8" w:rsidRDefault="00EC6449" w:rsidP="004925F5">
      <w:pPr>
        <w:rPr>
          <w:sz w:val="20"/>
          <w:szCs w:val="28"/>
        </w:rPr>
      </w:pPr>
      <w:r>
        <w:rPr>
          <w:sz w:val="20"/>
          <w:szCs w:val="28"/>
        </w:rPr>
        <w:t xml:space="preserve">February 2026 </w:t>
      </w:r>
      <w:r w:rsidR="000D1B0B" w:rsidRPr="003830B8">
        <w:rPr>
          <w:sz w:val="20"/>
          <w:szCs w:val="28"/>
        </w:rPr>
        <w:t xml:space="preserve">| </w:t>
      </w:r>
      <w:r w:rsidR="00142460" w:rsidRPr="003830B8">
        <w:rPr>
          <w:sz w:val="20"/>
          <w:szCs w:val="28"/>
        </w:rPr>
        <w:t>Discussion Document</w:t>
      </w:r>
    </w:p>
    <w:p w14:paraId="7215FFA5" w14:textId="77777777" w:rsidR="00D06DA2" w:rsidRPr="000F3A01" w:rsidRDefault="00D06DA2" w:rsidP="004925F5">
      <w:pPr>
        <w:rPr>
          <w:rFonts w:cs="Arial"/>
          <w:bCs/>
          <w:color w:val="505669" w:themeColor="text2"/>
          <w:szCs w:val="24"/>
          <w:lang w:val="en-GB"/>
        </w:rPr>
      </w:pPr>
    </w:p>
    <w:p w14:paraId="26CE827C" w14:textId="59289AC2" w:rsidR="00E350FE" w:rsidRPr="000F3A01" w:rsidRDefault="00D06DA2" w:rsidP="004925F5">
      <w:pPr>
        <w:rPr>
          <w:b/>
        </w:rPr>
      </w:pPr>
      <w:r w:rsidRPr="000F3A01">
        <w:rPr>
          <w:b/>
          <w:sz w:val="14"/>
          <w:szCs w:val="14"/>
        </w:rPr>
        <w:t xml:space="preserve"> </w:t>
      </w:r>
      <w:r w:rsidR="00E350FE" w:rsidRPr="000F3A01">
        <w:rPr>
          <w:b/>
        </w:rPr>
        <w:br w:type="page"/>
      </w:r>
    </w:p>
    <w:bookmarkEnd w:id="1"/>
    <w:bookmarkEnd w:id="2"/>
    <w:bookmarkEnd w:id="3"/>
    <w:p w14:paraId="7323258E" w14:textId="77777777" w:rsidR="00534253" w:rsidRPr="000F3A01" w:rsidRDefault="00534253" w:rsidP="001257DD">
      <w:pPr>
        <w:pStyle w:val="sectionintro"/>
        <w:rPr>
          <w:lang w:val="en-AU"/>
        </w:rPr>
        <w:sectPr w:rsidR="00534253" w:rsidRPr="000F3A01" w:rsidSect="00DD7BDC">
          <w:headerReference w:type="default" r:id="rId13"/>
          <w:footerReference w:type="default" r:id="rId14"/>
          <w:pgSz w:w="11906" w:h="16838" w:code="9"/>
          <w:pgMar w:top="2268" w:right="1588" w:bottom="1418" w:left="1588" w:header="340" w:footer="720" w:gutter="0"/>
          <w:cols w:space="708"/>
          <w:docGrid w:linePitch="360"/>
        </w:sectPr>
      </w:pPr>
    </w:p>
    <w:p w14:paraId="3073BBD4"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bookmarkStart w:id="7" w:name="_Toc197012725"/>
      <w:bookmarkStart w:id="8" w:name="_Toc197356488"/>
      <w:bookmarkStart w:id="9" w:name="_Toc197537729"/>
      <w:bookmarkStart w:id="10" w:name="_Toc197604235"/>
      <w:bookmarkStart w:id="11" w:name="_Toc197707118"/>
      <w:bookmarkStart w:id="12" w:name="_Toc198204235"/>
      <w:bookmarkStart w:id="13" w:name="_Toc199229227"/>
      <w:bookmarkStart w:id="14" w:name="_Toc201043481"/>
    </w:p>
    <w:p w14:paraId="62F9895B"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p>
    <w:p w14:paraId="1A1763FE"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p>
    <w:p w14:paraId="0E63CB63"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p>
    <w:p w14:paraId="257E4CB7"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p>
    <w:p w14:paraId="7951C159"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p>
    <w:p w14:paraId="50736E5D"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p>
    <w:p w14:paraId="775DC983"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p>
    <w:p w14:paraId="64089DB9"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p>
    <w:p w14:paraId="3997BB38"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p>
    <w:p w14:paraId="0CF6143C"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p>
    <w:p w14:paraId="577300CF"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p>
    <w:p w14:paraId="71F2FC2F"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p>
    <w:p w14:paraId="11C18200"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p>
    <w:p w14:paraId="47A4F545"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p>
    <w:p w14:paraId="1E62258B"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p>
    <w:p w14:paraId="3647184B"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p>
    <w:p w14:paraId="607BC412"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p>
    <w:p w14:paraId="071DC3AE"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p>
    <w:p w14:paraId="1BE89539"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p>
    <w:p w14:paraId="44B16939"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p>
    <w:p w14:paraId="651E8E6A"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p>
    <w:p w14:paraId="577C129A" w14:textId="77777777" w:rsid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p>
    <w:p w14:paraId="07280885" w14:textId="77777777" w:rsid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p>
    <w:p w14:paraId="21AFCAB1" w14:textId="4DE28C2A"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r w:rsidRPr="00705A1C">
        <w:rPr>
          <w:rFonts w:eastAsia="Times New Roman" w:cs="Times New Roman"/>
          <w:sz w:val="18"/>
          <w:szCs w:val="20"/>
        </w:rPr>
        <w:t>ISBN 978-1-0670255-6-4 Digital</w:t>
      </w:r>
    </w:p>
    <w:p w14:paraId="6FFFA883"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r w:rsidRPr="00705A1C">
        <w:rPr>
          <w:rFonts w:eastAsia="Times New Roman" w:cs="Times New Roman"/>
          <w:sz w:val="18"/>
          <w:szCs w:val="20"/>
        </w:rPr>
        <w:t xml:space="preserve"> </w:t>
      </w:r>
      <w:r w:rsidRPr="00705A1C">
        <w:rPr>
          <w:rFonts w:eastAsia="Times New Roman" w:cs="Times New Roman"/>
          <w:noProof/>
          <w:sz w:val="18"/>
          <w:szCs w:val="20"/>
        </w:rPr>
        <w:drawing>
          <wp:inline distT="0" distB="0" distL="0" distR="0" wp14:anchorId="52DE91E4" wp14:editId="3F8FBE55">
            <wp:extent cx="927720" cy="324937"/>
            <wp:effectExtent l="0" t="0" r="6350" b="0"/>
            <wp:docPr id="125512829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28292" name="Picture 2">
                      <a:extLst>
                        <a:ext uri="{C183D7F6-B498-43B3-948B-1728B52AA6E4}">
                          <adec:decorative xmlns:adec="http://schemas.microsoft.com/office/drawing/2017/decorative" val="1"/>
                        </a:ext>
                      </a:extLst>
                    </pic:cNvPr>
                    <pic:cNvPicPr/>
                  </pic:nvPicPr>
                  <pic:blipFill>
                    <a:blip r:embed="rId15"/>
                    <a:stretch>
                      <a:fillRect/>
                    </a:stretch>
                  </pic:blipFill>
                  <pic:spPr>
                    <a:xfrm>
                      <a:off x="0" y="0"/>
                      <a:ext cx="927720" cy="324937"/>
                    </a:xfrm>
                    <a:prstGeom prst="rect">
                      <a:avLst/>
                    </a:prstGeom>
                  </pic:spPr>
                </pic:pic>
              </a:graphicData>
            </a:graphic>
          </wp:inline>
        </w:drawing>
      </w:r>
    </w:p>
    <w:p w14:paraId="3DF09CFB"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r w:rsidRPr="00705A1C">
        <w:rPr>
          <w:rFonts w:eastAsia="Times New Roman" w:cs="Times New Roman"/>
          <w:sz w:val="18"/>
          <w:szCs w:val="20"/>
        </w:rPr>
        <w:t xml:space="preserve">© Crown copyright </w:t>
      </w:r>
    </w:p>
    <w:p w14:paraId="52C31888" w14:textId="56783C41"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sz w:val="18"/>
          <w:szCs w:val="20"/>
        </w:rPr>
      </w:pPr>
      <w:r w:rsidRPr="00705A1C">
        <w:rPr>
          <w:rFonts w:eastAsia="Times New Roman" w:cs="Times New Roman"/>
          <w:sz w:val="18"/>
          <w:szCs w:val="20"/>
        </w:rPr>
        <w:t xml:space="preserve">This work is licensed under the Creative Commons Attribution 4.0 International licence. You are free to copy, distribute and adapt the work, </w:t>
      </w:r>
      <w:proofErr w:type="gramStart"/>
      <w:r w:rsidRPr="00705A1C">
        <w:rPr>
          <w:rFonts w:eastAsia="Times New Roman" w:cs="Times New Roman"/>
          <w:sz w:val="18"/>
          <w:szCs w:val="20"/>
        </w:rPr>
        <w:t>as long as</w:t>
      </w:r>
      <w:proofErr w:type="gramEnd"/>
      <w:r w:rsidRPr="00705A1C">
        <w:rPr>
          <w:rFonts w:eastAsia="Times New Roman" w:cs="Times New Roman"/>
          <w:sz w:val="18"/>
          <w:szCs w:val="20"/>
        </w:rPr>
        <w:t xml:space="preserve"> you attribute it to the Crown and abide by the other licence terms. Attribution to the Crown should be in writing (not using images, such as emblems, logos, coat of arms). To view a copy of this licence, go to </w:t>
      </w:r>
      <w:hyperlink r:id="rId16" w:history="1">
        <w:r w:rsidRPr="00705A1C">
          <w:rPr>
            <w:rFonts w:eastAsia="Times New Roman" w:cs="Times New Roman"/>
            <w:iCs/>
            <w:color w:val="808080"/>
            <w:sz w:val="18"/>
            <w:szCs w:val="20"/>
          </w:rPr>
          <w:t>creativecommons.org/licenses/by/4.0/</w:t>
        </w:r>
      </w:hyperlink>
      <w:r w:rsidRPr="00705A1C">
        <w:rPr>
          <w:rFonts w:eastAsia="Times New Roman" w:cs="Times New Roman"/>
          <w:sz w:val="18"/>
          <w:szCs w:val="20"/>
        </w:rPr>
        <w:t xml:space="preserve">. </w:t>
      </w:r>
    </w:p>
    <w:p w14:paraId="219100F6" w14:textId="77777777" w:rsidR="00705A1C" w:rsidRPr="00705A1C" w:rsidRDefault="00705A1C" w:rsidP="00705A1C">
      <w:pPr>
        <w:tabs>
          <w:tab w:val="center" w:pos="4513"/>
          <w:tab w:val="right" w:pos="9026"/>
        </w:tabs>
        <w:suppressAutoHyphens w:val="0"/>
        <w:autoSpaceDE/>
        <w:autoSpaceDN/>
        <w:adjustRightInd/>
        <w:spacing w:after="160"/>
        <w:textAlignment w:val="auto"/>
        <w:rPr>
          <w:rFonts w:eastAsia="Times New Roman" w:cs="Times New Roman"/>
          <w:bCs/>
          <w:sz w:val="18"/>
          <w:szCs w:val="20"/>
        </w:rPr>
      </w:pPr>
      <w:r w:rsidRPr="00705A1C">
        <w:rPr>
          <w:rFonts w:eastAsia="Times New Roman" w:cs="Times New Roman"/>
          <w:sz w:val="18"/>
          <w:szCs w:val="20"/>
        </w:rPr>
        <w:t>Please note – you can’t use any departmental or governmental emblem, logo or coat of arms in any way that infringes provisions of the Flags, Emblems, and Names Protection Act 1981.</w:t>
      </w:r>
      <w:r w:rsidRPr="00705A1C">
        <w:rPr>
          <w:rFonts w:eastAsia="Times New Roman" w:cs="Times New Roman"/>
          <w:sz w:val="18"/>
          <w:szCs w:val="20"/>
        </w:rPr>
        <w:br w:type="page"/>
      </w:r>
    </w:p>
    <w:bookmarkEnd w:id="7"/>
    <w:bookmarkEnd w:id="8"/>
    <w:bookmarkEnd w:id="9"/>
    <w:bookmarkEnd w:id="10"/>
    <w:bookmarkEnd w:id="11"/>
    <w:bookmarkEnd w:id="12"/>
    <w:bookmarkEnd w:id="13"/>
    <w:bookmarkEnd w:id="14"/>
    <w:p w14:paraId="7F8D2910" w14:textId="1E2F2488" w:rsidR="00705A1C" w:rsidRPr="00705A1C" w:rsidRDefault="00705A1C" w:rsidP="00774AD0">
      <w:pPr>
        <w:pStyle w:val="Heading1"/>
      </w:pPr>
      <w:r w:rsidRPr="00705A1C">
        <w:lastRenderedPageBreak/>
        <w:t>Why is the Government considering a</w:t>
      </w:r>
      <w:r w:rsidR="00774AD0">
        <w:t> </w:t>
      </w:r>
      <w:r w:rsidRPr="00705A1C">
        <w:t>new approach to the cyber security of critical infrastructure?</w:t>
      </w:r>
    </w:p>
    <w:p w14:paraId="656D592D" w14:textId="77777777" w:rsidR="00705A1C" w:rsidRPr="00705A1C" w:rsidRDefault="00705A1C" w:rsidP="00774AD0">
      <w:pPr>
        <w:pStyle w:val="Introduction"/>
      </w:pPr>
      <w:bookmarkStart w:id="15" w:name="_Hlk219797845"/>
      <w:r w:rsidRPr="00705A1C">
        <w:t>Cyber risks are generally not well understood or collectively managed to a consistent level across New Zealand’s critical infrastructure system. These risks are escalating due to changing technology, economic instability and a more volatile geopolitical environment</w:t>
      </w:r>
      <w:bookmarkEnd w:id="15"/>
      <w:r w:rsidRPr="00705A1C">
        <w:t>.</w:t>
      </w:r>
    </w:p>
    <w:p w14:paraId="2F02F1AF" w14:textId="77777777" w:rsidR="00705A1C" w:rsidRPr="00705A1C" w:rsidRDefault="00705A1C" w:rsidP="00774AD0">
      <w:pPr>
        <w:rPr>
          <w:lang w:val="en-GB"/>
        </w:rPr>
      </w:pPr>
      <w:r w:rsidRPr="00705A1C">
        <w:rPr>
          <w:lang w:val="en-GB"/>
        </w:rPr>
        <w:t>The impact of cyber harm is also intensifying, with a rise in reported financial losses</w:t>
      </w:r>
      <w:r w:rsidRPr="00705A1C">
        <w:rPr>
          <w:vertAlign w:val="superscript"/>
          <w:lang w:val="en-GB"/>
        </w:rPr>
        <w:footnoteReference w:id="2"/>
      </w:r>
      <w:r w:rsidRPr="00705A1C">
        <w:rPr>
          <w:lang w:val="en-GB"/>
        </w:rPr>
        <w:t xml:space="preserve"> and a global increase in </w:t>
      </w:r>
      <w:proofErr w:type="spellStart"/>
      <w:r w:rsidRPr="00705A1C">
        <w:rPr>
          <w:lang w:val="en-GB"/>
        </w:rPr>
        <w:t>cyber attacks</w:t>
      </w:r>
      <w:proofErr w:type="spellEnd"/>
      <w:r w:rsidRPr="00705A1C">
        <w:rPr>
          <w:lang w:val="en-GB"/>
        </w:rPr>
        <w:t xml:space="preserve"> that severely disrupt or even halt the operation of critical infrastructure, paralysing the delivery of essential services to businesses and communities. Beyond downtime and data loss, consequences of a cyber incident can include public health risks, social unrest, reduced trust in government and erosion of strategic advantage. </w:t>
      </w:r>
    </w:p>
    <w:p w14:paraId="1EFE945A" w14:textId="77777777" w:rsidR="00705A1C" w:rsidRPr="00705A1C" w:rsidRDefault="00705A1C" w:rsidP="00774AD0">
      <w:pPr>
        <w:rPr>
          <w:lang w:val="en-GB"/>
        </w:rPr>
      </w:pPr>
      <w:bookmarkStart w:id="16" w:name="_Hlk198713530"/>
      <w:r w:rsidRPr="00705A1C">
        <w:rPr>
          <w:lang w:val="en-GB"/>
        </w:rPr>
        <w:t xml:space="preserve">New Zealand’s critical infrastructure system – encompassing everything from the electricity grid, transport system and telecommunications networks to health services and financial payment systems – is the lifeblood of our country. Protecting this infrastructure against cyber threats is paramount to New Zealand’s economic growth and prosperity and deserves renewed attention given the perilous threat landscape we face today. </w:t>
      </w:r>
    </w:p>
    <w:p w14:paraId="278E0901" w14:textId="77777777" w:rsidR="00705A1C" w:rsidRPr="00705A1C" w:rsidRDefault="00705A1C" w:rsidP="00774AD0">
      <w:pPr>
        <w:rPr>
          <w:rFonts w:eastAsia="Calibri"/>
          <w:lang w:val="en-GB"/>
        </w:rPr>
      </w:pPr>
      <w:r w:rsidRPr="00705A1C">
        <w:rPr>
          <w:lang w:val="en-GB"/>
        </w:rPr>
        <w:t xml:space="preserve">Cyber criminals are using increasingly sophisticated tools to extort ransoms or exploit data, </w:t>
      </w:r>
      <w:r w:rsidRPr="00705A1C">
        <w:rPr>
          <w:rFonts w:eastAsia="Calibri"/>
          <w:lang w:val="en-GB"/>
        </w:rPr>
        <w:t xml:space="preserve">while malicious state actors are targeting critical infrastructure for espionage as well as for political and military purposes. This type of activity is not hypothetical but </w:t>
      </w:r>
      <w:r w:rsidRPr="00705A1C">
        <w:rPr>
          <w:lang w:val="en-GB"/>
        </w:rPr>
        <w:t>becoming more common and harder to detect – posing a significant risk to both our national and economic security.</w:t>
      </w:r>
    </w:p>
    <w:p w14:paraId="0EFC29B5" w14:textId="77777777" w:rsidR="00705A1C" w:rsidRPr="00705A1C" w:rsidRDefault="00705A1C" w:rsidP="00774AD0">
      <w:pPr>
        <w:rPr>
          <w:lang w:val="en-GB"/>
        </w:rPr>
      </w:pPr>
      <w:r w:rsidRPr="00705A1C">
        <w:rPr>
          <w:lang w:val="en-GB"/>
        </w:rPr>
        <w:lastRenderedPageBreak/>
        <w:t xml:space="preserve">In October 2025, New Zealand’s National Cyber Security Centre (NCSC) joined international counterparts in </w:t>
      </w:r>
      <w:r w:rsidRPr="00705A1C">
        <w:t xml:space="preserve">drawing attention to a campaign of malicious cyber activity targeting critical infrastructure entities globally. Known as Salt Typhoon, this People’s Republic of China (PRC) Government-affiliated threat group targets critical infrastructure </w:t>
      </w:r>
      <w:r w:rsidRPr="00705A1C">
        <w:rPr>
          <w:lang w:val="en-GB"/>
        </w:rPr>
        <w:t>to conduct espionage and pre-position for disruptive activity in the event of heightened tensions or conflict.</w:t>
      </w:r>
      <w:r w:rsidRPr="00705A1C">
        <w:t xml:space="preserve"> Salt Typhoon activity has been observed in New Zealand and </w:t>
      </w:r>
      <w:r w:rsidRPr="00705A1C">
        <w:rPr>
          <w:lang w:val="en-GB"/>
        </w:rPr>
        <w:t xml:space="preserve">exemplifies the urgent need to address cyber risk as a core business risk. </w:t>
      </w:r>
    </w:p>
    <w:p w14:paraId="7AD8BD06" w14:textId="77777777" w:rsidR="00705A1C" w:rsidRPr="00705A1C" w:rsidRDefault="00705A1C" w:rsidP="00774AD0">
      <w:pPr>
        <w:rPr>
          <w:rFonts w:eastAsia="Calibri"/>
          <w:lang w:val="en-GB"/>
        </w:rPr>
      </w:pPr>
      <w:bookmarkStart w:id="17" w:name="_Hlk198713615"/>
      <w:bookmarkEnd w:id="16"/>
      <w:r w:rsidRPr="00705A1C">
        <w:rPr>
          <w:rFonts w:eastAsia="Calibri"/>
          <w:lang w:val="en-GB"/>
        </w:rPr>
        <w:t>New Zealanders implicitly understand the risk, highlighted by attacks such as Manage My Health, and rank both cyber incidents and critical infrastructure failure as material national risks.</w:t>
      </w:r>
      <w:r w:rsidRPr="00705A1C">
        <w:rPr>
          <w:rFonts w:eastAsia="Calibri"/>
          <w:vertAlign w:val="superscript"/>
          <w:lang w:val="en-GB"/>
        </w:rPr>
        <w:footnoteReference w:id="3"/>
      </w:r>
      <w:r w:rsidRPr="00705A1C">
        <w:rPr>
          <w:rFonts w:eastAsia="Calibri"/>
          <w:lang w:val="en-GB"/>
        </w:rPr>
        <w:t xml:space="preserve"> Doing more to address these risks is therefore a key focus of the New Zealand Cyber Security Strategy 2026–2030</w:t>
      </w:r>
      <w:r w:rsidRPr="00705A1C">
        <w:rPr>
          <w:rFonts w:eastAsia="Calibri"/>
          <w:vertAlign w:val="superscript"/>
          <w:lang w:val="en-GB"/>
        </w:rPr>
        <w:footnoteReference w:id="4"/>
      </w:r>
      <w:r w:rsidRPr="00705A1C">
        <w:rPr>
          <w:rFonts w:eastAsia="Calibri"/>
          <w:lang w:val="en-GB"/>
        </w:rPr>
        <w:t>.</w:t>
      </w:r>
    </w:p>
    <w:p w14:paraId="67D878D4" w14:textId="77777777" w:rsidR="00705A1C" w:rsidRPr="00705A1C" w:rsidRDefault="00705A1C" w:rsidP="00774AD0">
      <w:pPr>
        <w:rPr>
          <w:rFonts w:eastAsia="Calibri"/>
          <w:lang w:val="en-GB"/>
        </w:rPr>
      </w:pPr>
      <w:r w:rsidRPr="00705A1C">
        <w:rPr>
          <w:rFonts w:eastAsia="Calibri"/>
          <w:lang w:val="en-GB"/>
        </w:rPr>
        <w:t xml:space="preserve">New Zealand currently takes a predominantly voluntary approach to cyber security, with tools and guidance provided by the NCSC to help critical infrastructure entities understand and manage their cyber risks. However, the level of investment in cyber security across the critical infrastructure system </w:t>
      </w:r>
      <w:r w:rsidRPr="00705A1C" w:rsidDel="004A6A8E">
        <w:rPr>
          <w:rFonts w:eastAsia="Calibri"/>
          <w:lang w:val="en-GB"/>
        </w:rPr>
        <w:t xml:space="preserve">is </w:t>
      </w:r>
      <w:r w:rsidRPr="00705A1C">
        <w:rPr>
          <w:rFonts w:eastAsia="Calibri"/>
          <w:lang w:val="en-GB"/>
        </w:rPr>
        <w:t xml:space="preserve">not always commensurate with the threats faced. </w:t>
      </w:r>
    </w:p>
    <w:p w14:paraId="76A03B59" w14:textId="77777777" w:rsidR="00705A1C" w:rsidRPr="00705A1C" w:rsidRDefault="00705A1C" w:rsidP="00774AD0">
      <w:pPr>
        <w:rPr>
          <w:lang w:val="en-GB"/>
        </w:rPr>
      </w:pPr>
      <w:r w:rsidRPr="00705A1C">
        <w:rPr>
          <w:lang w:val="en-GB"/>
        </w:rPr>
        <w:t>This discussion document is an invitation to shape a future in which New Zealand and the services that our people depend on every day stand cyber resilient amid the global challenges of the digital age.</w:t>
      </w:r>
    </w:p>
    <w:p w14:paraId="04A99C28" w14:textId="77777777" w:rsidR="00EC6449" w:rsidRDefault="00EC6449">
      <w:pPr>
        <w:suppressAutoHyphens w:val="0"/>
        <w:autoSpaceDE/>
        <w:autoSpaceDN/>
        <w:adjustRightInd/>
        <w:spacing w:after="160" w:line="259" w:lineRule="auto"/>
        <w:textAlignment w:val="auto"/>
        <w:rPr>
          <w:lang w:val="en-GB"/>
        </w:rPr>
      </w:pPr>
      <w:r>
        <w:rPr>
          <w:lang w:val="en-GB"/>
        </w:rPr>
        <w:br w:type="page"/>
      </w:r>
    </w:p>
    <w:p w14:paraId="7C11B978" w14:textId="560B257A" w:rsidR="00705A1C" w:rsidRPr="00705A1C" w:rsidRDefault="00705A1C" w:rsidP="00774AD0">
      <w:pPr>
        <w:rPr>
          <w:lang w:val="en-GB"/>
        </w:rPr>
      </w:pPr>
      <w:r w:rsidRPr="00705A1C">
        <w:rPr>
          <w:lang w:val="en-GB"/>
        </w:rPr>
        <w:lastRenderedPageBreak/>
        <w:t xml:space="preserve">We encourage you to critically engage with the ideas and proposals in this document to ensure any approach we progress is appropriate for New Zealand. Your contributions will build the foundations for a practical, flexible and responsive regime that embeds the principles of trust and cyber security into every layer of our critical infrastructure system. </w:t>
      </w:r>
    </w:p>
    <w:p w14:paraId="4F051F69" w14:textId="77777777" w:rsidR="00705A1C" w:rsidRDefault="00705A1C" w:rsidP="00774AD0">
      <w:pPr>
        <w:rPr>
          <w:lang w:val="en-GB"/>
        </w:rPr>
      </w:pPr>
      <w:r w:rsidRPr="00705A1C">
        <w:rPr>
          <w:noProof/>
          <w:lang w:val="en-GB"/>
        </w:rPr>
        <w:drawing>
          <wp:anchor distT="0" distB="0" distL="114300" distR="114300" simplePos="0" relativeHeight="251691038" behindDoc="0" locked="0" layoutInCell="1" allowOverlap="1" wp14:anchorId="35D854D8" wp14:editId="1514E92B">
            <wp:simplePos x="0" y="0"/>
            <wp:positionH relativeFrom="column">
              <wp:posOffset>-20955</wp:posOffset>
            </wp:positionH>
            <wp:positionV relativeFrom="paragraph">
              <wp:posOffset>265240</wp:posOffset>
            </wp:positionV>
            <wp:extent cx="1673860" cy="813435"/>
            <wp:effectExtent l="0" t="0" r="0" b="0"/>
            <wp:wrapNone/>
            <wp:docPr id="1124898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9802"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3860" cy="813435"/>
                    </a:xfrm>
                    <a:prstGeom prst="rect">
                      <a:avLst/>
                    </a:prstGeom>
                  </pic:spPr>
                </pic:pic>
              </a:graphicData>
            </a:graphic>
            <wp14:sizeRelH relativeFrom="margin">
              <wp14:pctWidth>0</wp14:pctWidth>
            </wp14:sizeRelH>
            <wp14:sizeRelV relativeFrom="margin">
              <wp14:pctHeight>0</wp14:pctHeight>
            </wp14:sizeRelV>
          </wp:anchor>
        </w:drawing>
      </w:r>
      <w:r w:rsidRPr="00705A1C">
        <w:rPr>
          <w:lang w:val="en-GB"/>
        </w:rPr>
        <w:t>With thanks for your valuable input,</w:t>
      </w:r>
    </w:p>
    <w:p w14:paraId="405D4969" w14:textId="77777777" w:rsidR="00774AD0" w:rsidRDefault="00774AD0" w:rsidP="00774AD0">
      <w:pPr>
        <w:rPr>
          <w:lang w:val="en-GB"/>
        </w:rPr>
      </w:pPr>
    </w:p>
    <w:p w14:paraId="0FA2A092" w14:textId="77777777" w:rsidR="00774AD0" w:rsidRPr="00705A1C" w:rsidRDefault="00774AD0" w:rsidP="00774AD0">
      <w:pPr>
        <w:rPr>
          <w:lang w:val="en-GB"/>
        </w:rPr>
      </w:pPr>
    </w:p>
    <w:p w14:paraId="1292F1DD" w14:textId="09EBE11F" w:rsidR="00705A1C" w:rsidRPr="00705A1C" w:rsidRDefault="00705A1C" w:rsidP="00774AD0">
      <w:pPr>
        <w:rPr>
          <w:rFonts w:eastAsia="Arial" w:cs="Arial"/>
          <w:b/>
          <w:color w:val="0E2841"/>
          <w:spacing w:val="-1"/>
          <w:sz w:val="20"/>
          <w:szCs w:val="20"/>
          <w:lang w:val="en-GB"/>
        </w:rPr>
      </w:pPr>
      <w:r w:rsidRPr="00705A1C">
        <w:rPr>
          <w:b/>
          <w:bCs/>
          <w:lang w:val="en-GB"/>
        </w:rPr>
        <w:t>Rt Hon Christopher Luxon</w:t>
      </w:r>
      <w:r w:rsidRPr="00705A1C">
        <w:rPr>
          <w:lang w:val="en-GB"/>
        </w:rPr>
        <w:br/>
        <w:t>Minister for National Security and Intelligence</w:t>
      </w:r>
      <w:bookmarkStart w:id="18" w:name="_Hlk198724363"/>
      <w:r w:rsidRPr="00705A1C">
        <w:rPr>
          <w:rFonts w:eastAsia="Arial" w:cs="Arial"/>
          <w:b/>
          <w:color w:val="0E2841"/>
          <w:sz w:val="20"/>
          <w:szCs w:val="20"/>
          <w:lang w:val="en-GB"/>
        </w:rPr>
        <w:br w:type="page"/>
      </w:r>
    </w:p>
    <w:p w14:paraId="2A556249" w14:textId="77777777" w:rsidR="00705A1C" w:rsidRPr="00705A1C" w:rsidRDefault="00705A1C" w:rsidP="00774AD0">
      <w:pPr>
        <w:pStyle w:val="Heading1"/>
      </w:pPr>
      <w:r w:rsidRPr="00705A1C">
        <w:lastRenderedPageBreak/>
        <w:t>The infrastructure that sustains New Zealand’s economy and society is increasingly vulnerable to cyber attack</w:t>
      </w:r>
    </w:p>
    <w:p w14:paraId="28A84A6F" w14:textId="77777777" w:rsidR="00705A1C" w:rsidRPr="00705A1C" w:rsidRDefault="00705A1C" w:rsidP="00EC6449">
      <w:proofErr w:type="spellStart"/>
      <w:r w:rsidRPr="00705A1C">
        <w:t>Cyber attacks</w:t>
      </w:r>
      <w:proofErr w:type="spellEnd"/>
      <w:r w:rsidRPr="00705A1C">
        <w:t xml:space="preserve"> cannot always be publicised, but New Zealand’s infrastructure has been targeted. Recent examples include the NZX </w:t>
      </w:r>
      <w:proofErr w:type="spellStart"/>
      <w:r w:rsidRPr="00705A1C">
        <w:t>cyber attack</w:t>
      </w:r>
      <w:proofErr w:type="spellEnd"/>
      <w:r w:rsidRPr="00705A1C">
        <w:t xml:space="preserve"> in 2020 and the Waikato District Health Board ransomware attack in 2021, which disrupted healthcare for around 400,000 people. </w:t>
      </w:r>
    </w:p>
    <w:p w14:paraId="5B3C5BD7" w14:textId="77777777" w:rsidR="00705A1C" w:rsidRPr="00705A1C" w:rsidRDefault="00705A1C" w:rsidP="0045774C">
      <w:pPr>
        <w:rPr>
          <w:lang w:val="en-GB"/>
        </w:rPr>
      </w:pPr>
      <w:r w:rsidRPr="00705A1C">
        <w:rPr>
          <w:lang w:val="en-GB"/>
        </w:rPr>
        <w:t xml:space="preserve">The critical infrastructure supply chain also creates vulnerabilities. In 2024 a </w:t>
      </w:r>
      <w:r w:rsidRPr="00705A1C">
        <w:t xml:space="preserve">CrowdStrike software update caused a widespread IT outage for some Microsoft customers, leading to disruption across sectors including finance, healthcare and transport. </w:t>
      </w:r>
      <w:r w:rsidRPr="00705A1C">
        <w:rPr>
          <w:lang w:val="en-GB"/>
        </w:rPr>
        <w:t>While not a result of malicious activity, t</w:t>
      </w:r>
      <w:r w:rsidRPr="00705A1C">
        <w:t>he incident highlights the reliance on the digital supply chain. More recently, the attack on Manage My Health compromised the personal data of</w:t>
      </w:r>
      <w:r w:rsidRPr="00705A1C">
        <w:rPr>
          <w:rFonts w:ascii="Aptos" w:hAnsi="Aptos" w:cs="Times New Roman"/>
          <w:kern w:val="2"/>
          <w:sz w:val="22"/>
          <w:szCs w:val="22"/>
        </w:rPr>
        <w:t xml:space="preserve"> </w:t>
      </w:r>
      <w:r w:rsidRPr="00705A1C">
        <w:t>up to 126,000 New Zealanders. Manage My Health provides services to some District Health Boards. While there have not been reports of disruption to critical health services, this attack highlights that vulnerabilities in supply chains can translate to vulnerabilities for critical infrastructure entities.</w:t>
      </w:r>
    </w:p>
    <w:p w14:paraId="359C26F1" w14:textId="77777777" w:rsidR="00705A1C" w:rsidRPr="00705A1C" w:rsidRDefault="00705A1C" w:rsidP="0045774C">
      <w:pPr>
        <w:rPr>
          <w:lang w:val="en-GB"/>
        </w:rPr>
      </w:pPr>
      <w:r w:rsidRPr="00705A1C">
        <w:rPr>
          <w:lang w:val="en-GB"/>
        </w:rPr>
        <w:t>Global concern about targeting of critical infrastructure for cyber espionage or sabotage has become more acute. In 2023, successful infiltration of US critical infrastructure networks was attributed to an advanced persistent threat group linked to the PRC, known as Volt Typhoon. The US assessed this activity was part of a broader campaign to stealthily compromise multiple sectors (including communications, energy, transportation and water systems) and maintain long</w:t>
      </w:r>
      <w:r w:rsidRPr="00705A1C">
        <w:rPr>
          <w:lang w:val="en-GB"/>
        </w:rPr>
        <w:noBreakHyphen/>
        <w:t xml:space="preserve">term access to disrupt operations in the event of a crisis or conflict. </w:t>
      </w:r>
    </w:p>
    <w:p w14:paraId="428EAB3D" w14:textId="77777777" w:rsidR="00705A1C" w:rsidRPr="00705A1C" w:rsidRDefault="00705A1C" w:rsidP="0045774C">
      <w:pPr>
        <w:keepNext/>
        <w:keepLines/>
        <w:rPr>
          <w:lang w:val="en-GB"/>
        </w:rPr>
      </w:pPr>
      <w:r w:rsidRPr="00705A1C">
        <w:rPr>
          <w:lang w:val="en-GB"/>
        </w:rPr>
        <w:lastRenderedPageBreak/>
        <w:t>In 2024, the US confirmed that another advanced persistent threat group affiliated to the PRC, known as Salt Typhoon, had compromised the networks of at least nine major telecommunications providers, enabling broad access to users’ communications as part of an espionage campaign.</w:t>
      </w:r>
    </w:p>
    <w:p w14:paraId="764C2C22" w14:textId="77777777" w:rsidR="00705A1C" w:rsidRPr="00705A1C" w:rsidRDefault="00705A1C" w:rsidP="00774AD0">
      <w:pPr>
        <w:rPr>
          <w:lang w:val="en-GB"/>
        </w:rPr>
      </w:pPr>
      <w:r w:rsidRPr="00705A1C">
        <w:rPr>
          <w:lang w:val="en-GB"/>
        </w:rPr>
        <w:t>New Zealand’s critical infrastructure is not immune – there is evidence of Salt Typhoon targeting New Zealand entities too. Our critical infrastructure could be vulnerable in a similar way as documented in the US and other countries.</w:t>
      </w:r>
      <w:r w:rsidRPr="00705A1C">
        <w:rPr>
          <w:vertAlign w:val="superscript"/>
          <w:lang w:val="en-GB"/>
        </w:rPr>
        <w:footnoteReference w:id="5"/>
      </w:r>
      <w:r w:rsidRPr="00705A1C">
        <w:rPr>
          <w:lang w:val="en-GB"/>
        </w:rPr>
        <w:t xml:space="preserve"> </w:t>
      </w:r>
    </w:p>
    <w:p w14:paraId="6346008C" w14:textId="77777777" w:rsidR="00705A1C" w:rsidRPr="00705A1C" w:rsidRDefault="00705A1C" w:rsidP="00774AD0">
      <w:pPr>
        <w:pStyle w:val="Heading2"/>
      </w:pPr>
      <w:r w:rsidRPr="00705A1C">
        <w:t>Technology is exacerbating cyber risks</w:t>
      </w:r>
    </w:p>
    <w:p w14:paraId="0F8FDFCB" w14:textId="77777777" w:rsidR="00705A1C" w:rsidRPr="00705A1C" w:rsidRDefault="00705A1C" w:rsidP="00774AD0">
      <w:pPr>
        <w:rPr>
          <w:lang w:val="en-GB"/>
        </w:rPr>
      </w:pPr>
      <w:r w:rsidRPr="00705A1C">
        <w:rPr>
          <w:lang w:val="en-GB"/>
        </w:rPr>
        <w:t>The adoption of new technologies facilitates greater automation, better remote monitoring and management of infrastructure assets and greater connectivity. However, technological innovation has also driven the convergence of operational technology (OT) and information technology (IT) systems. This integration enables malicious actors to access systems controlling industrial equipment and processes to disrupt critical infrastructure operations without even setting foot in New Zealand.</w:t>
      </w:r>
    </w:p>
    <w:p w14:paraId="1D891590" w14:textId="77777777" w:rsidR="00705A1C" w:rsidRPr="00705A1C" w:rsidRDefault="00705A1C" w:rsidP="00774AD0">
      <w:pPr>
        <w:rPr>
          <w:lang w:val="en-GB"/>
        </w:rPr>
      </w:pPr>
      <w:bookmarkStart w:id="19" w:name="_Hlk201049333"/>
      <w:r w:rsidRPr="00705A1C">
        <w:rPr>
          <w:lang w:val="en-GB"/>
        </w:rPr>
        <w:t>The continued and widespread use of legacy infrastructure also creates vulnerabilities:</w:t>
      </w:r>
    </w:p>
    <w:p w14:paraId="2F0CEC3C" w14:textId="77777777" w:rsidR="00705A1C" w:rsidRPr="00705A1C" w:rsidRDefault="00705A1C" w:rsidP="00774AD0">
      <w:pPr>
        <w:pStyle w:val="Bullets0"/>
        <w:rPr>
          <w:lang w:val="en-GB"/>
        </w:rPr>
      </w:pPr>
      <w:bookmarkStart w:id="20" w:name="_Hlk201049379"/>
      <w:bookmarkEnd w:id="19"/>
      <w:r w:rsidRPr="00705A1C">
        <w:rPr>
          <w:lang w:val="en-GB"/>
        </w:rPr>
        <w:t>Of private sector experts interviewed in 2024 on their organisation’s security, 80 percent revealed that their organisation did not have basic cyber hygiene in place to protect their OT</w:t>
      </w:r>
      <w:r w:rsidRPr="00705A1C">
        <w:rPr>
          <w:vertAlign w:val="superscript"/>
          <w:lang w:val="en-GB"/>
        </w:rPr>
        <w:footnoteReference w:id="6"/>
      </w:r>
      <w:r w:rsidRPr="00705A1C">
        <w:rPr>
          <w:lang w:val="en-GB"/>
        </w:rPr>
        <w:t xml:space="preserve">. </w:t>
      </w:r>
      <w:bookmarkEnd w:id="20"/>
    </w:p>
    <w:p w14:paraId="1DCF991C" w14:textId="77777777" w:rsidR="00705A1C" w:rsidRPr="00705A1C" w:rsidRDefault="00705A1C" w:rsidP="00774AD0">
      <w:pPr>
        <w:pStyle w:val="Bullets0"/>
        <w:rPr>
          <w:lang w:val="en-GB"/>
        </w:rPr>
      </w:pPr>
      <w:bookmarkStart w:id="21" w:name="_Hlk201049625"/>
      <w:r w:rsidRPr="00705A1C">
        <w:rPr>
          <w:lang w:val="en-GB"/>
        </w:rPr>
        <w:t>Data from the Commerce Commission indicates that approximately 35 percent of SCADA assets (a type of OT) are at or nearing the end of their life. Such assets tend to no longer be supported by the original supplier, creating vulnerabilities that can be used by malicious actors to access and compromise core IT networks</w:t>
      </w:r>
      <w:bookmarkEnd w:id="21"/>
      <w:r w:rsidRPr="00705A1C">
        <w:rPr>
          <w:lang w:val="en-GB"/>
        </w:rPr>
        <w:t>.</w:t>
      </w:r>
    </w:p>
    <w:p w14:paraId="40317C72" w14:textId="77777777" w:rsidR="00705A1C" w:rsidRPr="00705A1C" w:rsidRDefault="00705A1C" w:rsidP="0045774C">
      <w:pPr>
        <w:pStyle w:val="Heading2"/>
      </w:pPr>
      <w:r w:rsidRPr="00705A1C">
        <w:lastRenderedPageBreak/>
        <w:t xml:space="preserve">Market forces may not be driving the appropriate level of investment in cyber security </w:t>
      </w:r>
    </w:p>
    <w:p w14:paraId="458000DF" w14:textId="77777777" w:rsidR="00705A1C" w:rsidRPr="0045774C" w:rsidRDefault="00705A1C" w:rsidP="0045774C">
      <w:r w:rsidRPr="0045774C">
        <w:t>Underinvestment in cyber security is a rational response to several market forces:</w:t>
      </w:r>
    </w:p>
    <w:p w14:paraId="5AAE5496" w14:textId="77777777" w:rsidR="00705A1C" w:rsidRPr="00705A1C" w:rsidRDefault="00705A1C" w:rsidP="0045774C">
      <w:pPr>
        <w:pStyle w:val="Bullets0"/>
        <w:rPr>
          <w:lang w:val="en-GB"/>
        </w:rPr>
      </w:pPr>
      <w:r w:rsidRPr="00705A1C">
        <w:rPr>
          <w:lang w:val="en-GB"/>
        </w:rPr>
        <w:t>The costs of enhancing cyber security are borne directly by critical infrastructure entities and the value is often not realised until an incident occurs, whereas the cascading costs of disruptive cyber incidents are distributed more widely across the economy.</w:t>
      </w:r>
    </w:p>
    <w:p w14:paraId="6CEFD5B5" w14:textId="77777777" w:rsidR="00705A1C" w:rsidRPr="00705A1C" w:rsidRDefault="00705A1C" w:rsidP="0045774C">
      <w:pPr>
        <w:pStyle w:val="Bullets0"/>
        <w:rPr>
          <w:lang w:val="en-GB"/>
        </w:rPr>
      </w:pPr>
      <w:r w:rsidRPr="00705A1C">
        <w:rPr>
          <w:lang w:val="en-GB"/>
        </w:rPr>
        <w:t>Many of New Zealand’s critical infrastructure entities are monopolies or oligopolies, reducing consumers’ power to drive investment.</w:t>
      </w:r>
    </w:p>
    <w:p w14:paraId="47E66B14" w14:textId="77777777" w:rsidR="00705A1C" w:rsidRPr="00705A1C" w:rsidRDefault="00705A1C" w:rsidP="0045774C">
      <w:pPr>
        <w:pStyle w:val="Bullets0"/>
        <w:rPr>
          <w:lang w:val="en-GB"/>
        </w:rPr>
      </w:pPr>
      <w:r w:rsidRPr="00705A1C">
        <w:rPr>
          <w:lang w:val="en-GB"/>
        </w:rPr>
        <w:t xml:space="preserve">An entity’s level of cyber security is not visible to consumers and does not serve as a market differentiator between services, allowing critical infrastructure entities to underinvest in cyber security and offer cheaper but less-secure services. </w:t>
      </w:r>
    </w:p>
    <w:p w14:paraId="6DA6AE83" w14:textId="77777777" w:rsidR="00705A1C" w:rsidRPr="00705A1C" w:rsidRDefault="00705A1C" w:rsidP="0045774C">
      <w:pPr>
        <w:pStyle w:val="Heading2"/>
      </w:pPr>
      <w:r w:rsidRPr="00705A1C">
        <w:t>Current regulatory settings are not designed to drive a consistent uplift in cyber security across the critical infrastructure system</w:t>
      </w:r>
    </w:p>
    <w:p w14:paraId="2E81C609" w14:textId="77777777" w:rsidR="00705A1C" w:rsidRPr="00705A1C" w:rsidRDefault="00705A1C" w:rsidP="0045774C">
      <w:pPr>
        <w:rPr>
          <w:lang w:val="en-GB"/>
        </w:rPr>
      </w:pPr>
      <w:r w:rsidRPr="00705A1C">
        <w:rPr>
          <w:lang w:val="en-GB"/>
        </w:rPr>
        <w:t>New Zealand largely relies on non</w:t>
      </w:r>
      <w:r w:rsidRPr="00705A1C">
        <w:rPr>
          <w:lang w:val="en-GB"/>
        </w:rPr>
        <w:noBreakHyphen/>
        <w:t>regulatory approaches to manage cyber risks to our critical infrastructure system. While there are pockets of regulatory reform under way to address cyber risks in certain sectors, there is no single piece of legislation that mandates enforceable minimum cyber security requirements to achieve a consistent and enhanced level of cyber security across the entire critical infrastructure system.</w:t>
      </w:r>
    </w:p>
    <w:p w14:paraId="022A0C30" w14:textId="77777777" w:rsidR="00EC6449" w:rsidRDefault="00EC6449">
      <w:pPr>
        <w:suppressAutoHyphens w:val="0"/>
        <w:autoSpaceDE/>
        <w:autoSpaceDN/>
        <w:adjustRightInd/>
        <w:spacing w:after="160" w:line="259" w:lineRule="auto"/>
        <w:textAlignment w:val="auto"/>
        <w:rPr>
          <w:lang w:val="en-GB"/>
        </w:rPr>
      </w:pPr>
      <w:r>
        <w:rPr>
          <w:lang w:val="en-GB"/>
        </w:rPr>
        <w:br w:type="page"/>
      </w:r>
    </w:p>
    <w:p w14:paraId="43971738" w14:textId="49D81853" w:rsidR="00705A1C" w:rsidRPr="00705A1C" w:rsidRDefault="00705A1C" w:rsidP="0045774C">
      <w:pPr>
        <w:rPr>
          <w:lang w:val="en-GB"/>
        </w:rPr>
      </w:pPr>
      <w:r w:rsidRPr="00705A1C">
        <w:rPr>
          <w:lang w:val="en-GB"/>
        </w:rPr>
        <w:lastRenderedPageBreak/>
        <w:t>The measures proposed in this discussion document are not intended to replace or usurp current work to introduce sector</w:t>
      </w:r>
      <w:r w:rsidRPr="00705A1C">
        <w:rPr>
          <w:lang w:val="en-GB"/>
        </w:rPr>
        <w:noBreakHyphen/>
        <w:t>specific regulatory requirements for cyber security, including:</w:t>
      </w:r>
    </w:p>
    <w:p w14:paraId="166291EB" w14:textId="77777777" w:rsidR="00705A1C" w:rsidRPr="005A33EC" w:rsidRDefault="00705A1C" w:rsidP="0045774C">
      <w:pPr>
        <w:pStyle w:val="Bullets0"/>
        <w:rPr>
          <w:spacing w:val="-2"/>
          <w:lang w:val="en-GB"/>
        </w:rPr>
      </w:pPr>
      <w:bookmarkStart w:id="22" w:name="_Hlk215490801"/>
      <w:r w:rsidRPr="005A33EC">
        <w:rPr>
          <w:spacing w:val="-2"/>
          <w:lang w:val="en-GB"/>
        </w:rPr>
        <w:t xml:space="preserve">The Reserve Bank of New Zealand (RBNZ) are working to enhance existing requirements for </w:t>
      </w:r>
      <w:proofErr w:type="gramStart"/>
      <w:r w:rsidRPr="005A33EC">
        <w:rPr>
          <w:spacing w:val="-2"/>
          <w:lang w:val="en-GB"/>
        </w:rPr>
        <w:t>prudentially-regulated</w:t>
      </w:r>
      <w:proofErr w:type="gramEnd"/>
      <w:r w:rsidRPr="005A33EC">
        <w:rPr>
          <w:spacing w:val="-2"/>
          <w:lang w:val="en-GB"/>
        </w:rPr>
        <w:t xml:space="preserve"> entities via the Deposit Takers Act 2023</w:t>
      </w:r>
      <w:r w:rsidRPr="005A33EC">
        <w:rPr>
          <w:spacing w:val="-2"/>
          <w:vertAlign w:val="superscript"/>
          <w:lang w:val="en-GB"/>
        </w:rPr>
        <w:t>.</w:t>
      </w:r>
      <w:r w:rsidRPr="005A33EC">
        <w:rPr>
          <w:spacing w:val="-2"/>
          <w:vertAlign w:val="superscript"/>
          <w:lang w:val="en-GB"/>
        </w:rPr>
        <w:footnoteReference w:id="7"/>
      </w:r>
    </w:p>
    <w:bookmarkEnd w:id="22"/>
    <w:p w14:paraId="5E849E4A" w14:textId="77777777" w:rsidR="00705A1C" w:rsidRPr="00705A1C" w:rsidRDefault="00705A1C" w:rsidP="0045774C">
      <w:pPr>
        <w:pStyle w:val="Bullets0"/>
        <w:rPr>
          <w:lang w:val="en-GB"/>
        </w:rPr>
      </w:pPr>
      <w:r w:rsidRPr="00705A1C">
        <w:rPr>
          <w:lang w:val="en-GB"/>
        </w:rPr>
        <w:t>The New Zealand Customs Service is progressing a Border Security Bill, part of which seeks to strengthen the Customs</w:t>
      </w:r>
      <w:r w:rsidRPr="00705A1C">
        <w:rPr>
          <w:lang w:val="en-GB"/>
        </w:rPr>
        <w:noBreakHyphen/>
        <w:t xml:space="preserve">controlled area regime at maritime ports and airports, including establishing information security requirements. </w:t>
      </w:r>
    </w:p>
    <w:p w14:paraId="20B96662" w14:textId="77777777" w:rsidR="00705A1C" w:rsidRPr="00705A1C" w:rsidRDefault="00705A1C" w:rsidP="0045774C">
      <w:pPr>
        <w:pStyle w:val="Heading2"/>
      </w:pPr>
      <w:r w:rsidRPr="00705A1C">
        <w:t xml:space="preserve">Cyber incidents can cascade quickly across the entire economy </w:t>
      </w:r>
    </w:p>
    <w:p w14:paraId="03998DDB" w14:textId="497F4D0C" w:rsidR="00705A1C" w:rsidRPr="00705A1C" w:rsidRDefault="00705A1C" w:rsidP="0045774C">
      <w:pPr>
        <w:rPr>
          <w:lang w:val="en-GB"/>
        </w:rPr>
      </w:pPr>
      <w:r w:rsidRPr="00705A1C">
        <w:rPr>
          <w:lang w:val="en-GB"/>
        </w:rPr>
        <w:t xml:space="preserve">Technology has also increased interdependencies between critical infrastructure, amplifying the cascading impact of cyber incidents (see Figure 1 on page </w:t>
      </w:r>
      <w:r w:rsidR="002E697E">
        <w:rPr>
          <w:lang w:val="en-GB"/>
        </w:rPr>
        <w:t>10</w:t>
      </w:r>
      <w:r w:rsidRPr="00705A1C">
        <w:rPr>
          <w:lang w:val="en-GB"/>
        </w:rPr>
        <w:t>). A</w:t>
      </w:r>
      <w:r w:rsidR="0045774C">
        <w:rPr>
          <w:lang w:val="en-GB"/>
        </w:rPr>
        <w:t> </w:t>
      </w:r>
      <w:r w:rsidRPr="00705A1C">
        <w:rPr>
          <w:lang w:val="en-GB"/>
        </w:rPr>
        <w:t>single vulnerability can trigger widespread outages across multiple essential services, with costs felt far beyond the entity initially affected.</w:t>
      </w:r>
    </w:p>
    <w:p w14:paraId="34E3AC47" w14:textId="77777777" w:rsidR="00705A1C" w:rsidRPr="00705A1C" w:rsidRDefault="00705A1C" w:rsidP="0045774C">
      <w:pPr>
        <w:rPr>
          <w:lang w:val="en-GB"/>
        </w:rPr>
      </w:pPr>
      <w:r w:rsidRPr="00705A1C">
        <w:rPr>
          <w:lang w:val="en-GB"/>
        </w:rPr>
        <w:t xml:space="preserve">In November 2023, Australia’s largest port operator, DP World, experienced a </w:t>
      </w:r>
      <w:proofErr w:type="spellStart"/>
      <w:r w:rsidRPr="00705A1C">
        <w:rPr>
          <w:lang w:val="en-GB"/>
        </w:rPr>
        <w:t>cyber attack</w:t>
      </w:r>
      <w:proofErr w:type="spellEnd"/>
      <w:r w:rsidRPr="00705A1C">
        <w:rPr>
          <w:lang w:val="en-GB"/>
        </w:rPr>
        <w:t xml:space="preserve"> that forced the company to disconnect its systems from the internet and halt operations at its major ports in Melbourne, Brisbane, Sydney and Fremantle. The disruption impacted Australia’s import and export capacity, resulting in a backlog of over 30,000 shipping containers that took seven days to clear after systems came back online. </w:t>
      </w:r>
    </w:p>
    <w:p w14:paraId="1D54EF98" w14:textId="77777777" w:rsidR="00705A1C" w:rsidRPr="00705A1C" w:rsidRDefault="00705A1C" w:rsidP="0045774C">
      <w:pPr>
        <w:rPr>
          <w:lang w:val="en-GB"/>
        </w:rPr>
      </w:pPr>
      <w:r w:rsidRPr="00705A1C">
        <w:rPr>
          <w:lang w:val="en-GB"/>
        </w:rPr>
        <w:t xml:space="preserve">Following the incident, the Australian Cyber Security Centre updated its advice on a previously disclosed vulnerability. Cyber security commentators indicated DP World had not patched this known vulnerability at the time of the incident. </w:t>
      </w:r>
    </w:p>
    <w:p w14:paraId="5E785EDA" w14:textId="77777777" w:rsidR="00705A1C" w:rsidRPr="00705A1C" w:rsidRDefault="00705A1C" w:rsidP="00705A1C">
      <w:pPr>
        <w:suppressAutoHyphens w:val="0"/>
        <w:autoSpaceDE/>
        <w:autoSpaceDN/>
        <w:adjustRightInd/>
        <w:spacing w:after="160" w:line="259" w:lineRule="auto"/>
        <w:textAlignment w:val="auto"/>
        <w:rPr>
          <w:rFonts w:eastAsia="Aptos"/>
          <w:b/>
          <w:color w:val="474E67"/>
          <w:sz w:val="22"/>
          <w:szCs w:val="14"/>
          <w:lang w:val="en-GB"/>
        </w:rPr>
      </w:pPr>
      <w:r w:rsidRPr="00705A1C">
        <w:rPr>
          <w:rFonts w:ascii="Aptos" w:eastAsia="Aptos" w:hAnsi="Aptos" w:cs="Times New Roman"/>
          <w:kern w:val="2"/>
          <w:sz w:val="22"/>
          <w:szCs w:val="22"/>
        </w:rPr>
        <w:br w:type="page"/>
      </w:r>
    </w:p>
    <w:p w14:paraId="17A84DEA" w14:textId="22222D5C" w:rsidR="00DD7BDC" w:rsidRDefault="005A33EC" w:rsidP="005A33EC">
      <w:pPr>
        <w:pStyle w:val="Heading6"/>
        <w:rPr>
          <w:lang w:val="en-GB"/>
        </w:rPr>
      </w:pPr>
      <w:r>
        <w:rPr>
          <w:lang w:val="en-GB"/>
        </w:rPr>
        <w:lastRenderedPageBreak/>
        <w:drawing>
          <wp:anchor distT="0" distB="0" distL="114300" distR="114300" simplePos="0" relativeHeight="251692062" behindDoc="1" locked="1" layoutInCell="1" allowOverlap="1" wp14:anchorId="165CCEE6" wp14:editId="37B0052D">
            <wp:simplePos x="0" y="0"/>
            <wp:positionH relativeFrom="column">
              <wp:posOffset>0</wp:posOffset>
            </wp:positionH>
            <wp:positionV relativeFrom="paragraph">
              <wp:posOffset>551180</wp:posOffset>
            </wp:positionV>
            <wp:extent cx="5547600" cy="5598000"/>
            <wp:effectExtent l="0" t="0" r="0" b="0"/>
            <wp:wrapNone/>
            <wp:docPr id="1862936584" name="Picture 1" descr="An illustration of the cascading outages that can occur across the economy and society due to the interconnected nature of critical infrastructure.&#10;The example depicts a hypothetical cyber attack impacting the electricity and telecommunications sectors, that then impacts the water sector, banks and, traffic control centres. This in turn impacts the functioning of businesses, emergency services, freight and logistics, hospitals and supermark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36584" name="Picture 1" descr="An illustration of the cascading outages that can occur across the economy and society due to the interconnected nature of critical infrastructure.&#10;The example depicts a hypothetical cyber attack impacting the electricity and telecommunications sectors, that then impacts the water sector, banks and, traffic control centres. This in turn impacts the functioning of businesses, emergency services, freight and logistics, hospitals and supermarket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7600" cy="5598000"/>
                    </a:xfrm>
                    <a:prstGeom prst="rect">
                      <a:avLst/>
                    </a:prstGeom>
                    <a:noFill/>
                  </pic:spPr>
                </pic:pic>
              </a:graphicData>
            </a:graphic>
            <wp14:sizeRelH relativeFrom="margin">
              <wp14:pctWidth>0</wp14:pctWidth>
            </wp14:sizeRelH>
            <wp14:sizeRelV relativeFrom="margin">
              <wp14:pctHeight>0</wp14:pctHeight>
            </wp14:sizeRelV>
          </wp:anchor>
        </w:drawing>
      </w:r>
      <w:r w:rsidR="00705A1C" w:rsidRPr="00705A1C">
        <w:rPr>
          <w:lang w:val="en-GB"/>
        </w:rPr>
        <w:t xml:space="preserve">Figure </w:t>
      </w:r>
      <w:r w:rsidR="00705A1C" w:rsidRPr="00705A1C">
        <w:rPr>
          <w:lang w:val="en-GB"/>
        </w:rPr>
        <w:fldChar w:fldCharType="begin"/>
      </w:r>
      <w:r w:rsidR="00705A1C" w:rsidRPr="00705A1C">
        <w:rPr>
          <w:lang w:val="en-GB"/>
        </w:rPr>
        <w:instrText xml:space="preserve"> SEQ Figure \* ARABIC </w:instrText>
      </w:r>
      <w:r w:rsidR="00705A1C" w:rsidRPr="00705A1C">
        <w:rPr>
          <w:lang w:val="en-GB"/>
        </w:rPr>
        <w:fldChar w:fldCharType="separate"/>
      </w:r>
      <w:r w:rsidR="00EC6449">
        <w:rPr>
          <w:lang w:val="en-GB"/>
        </w:rPr>
        <w:t>1</w:t>
      </w:r>
      <w:r w:rsidR="00705A1C" w:rsidRPr="00705A1C">
        <w:rPr>
          <w:lang w:val="en-GB"/>
        </w:rPr>
        <w:fldChar w:fldCharType="end"/>
      </w:r>
      <w:r w:rsidR="00705A1C" w:rsidRPr="00705A1C">
        <w:rPr>
          <w:lang w:val="en-GB"/>
        </w:rPr>
        <w:t xml:space="preserve">: Cascading failures that a cyber incident can trigger due to interdependencies with other critical infrastructure sectors </w:t>
      </w:r>
    </w:p>
    <w:p w14:paraId="6A70B097" w14:textId="627FDA6F" w:rsidR="00DD7BDC" w:rsidRDefault="00DD7BDC">
      <w:pPr>
        <w:suppressAutoHyphens w:val="0"/>
        <w:autoSpaceDE/>
        <w:autoSpaceDN/>
        <w:adjustRightInd/>
        <w:spacing w:after="160" w:line="259" w:lineRule="auto"/>
        <w:textAlignment w:val="auto"/>
        <w:rPr>
          <w:rFonts w:eastAsia="Aptos" w:cs="Arial"/>
          <w:caps/>
          <w:color w:val="191919"/>
          <w:sz w:val="17"/>
          <w:szCs w:val="17"/>
          <w:lang w:val="en-GB"/>
        </w:rPr>
      </w:pPr>
      <w:r>
        <w:rPr>
          <w:rFonts w:eastAsia="Aptos" w:cs="Arial"/>
          <w:caps/>
          <w:color w:val="191919"/>
          <w:sz w:val="17"/>
          <w:szCs w:val="17"/>
          <w:lang w:val="en-GB"/>
        </w:rPr>
        <w:br w:type="page"/>
      </w:r>
    </w:p>
    <w:p w14:paraId="00338E84" w14:textId="43A63FF3" w:rsidR="00705A1C" w:rsidRPr="00705A1C" w:rsidRDefault="00705A1C" w:rsidP="00384995">
      <w:pPr>
        <w:pStyle w:val="Heading2"/>
      </w:pPr>
      <w:r w:rsidRPr="00705A1C">
        <w:lastRenderedPageBreak/>
        <w:t>New Zealand’s approach is not keeping pace with</w:t>
      </w:r>
      <w:r w:rsidRPr="00705A1C" w:rsidDel="00C81D81">
        <w:t xml:space="preserve"> </w:t>
      </w:r>
      <w:r w:rsidRPr="00705A1C">
        <w:t>other countries</w:t>
      </w:r>
    </w:p>
    <w:p w14:paraId="54EF0284" w14:textId="77777777" w:rsidR="00705A1C" w:rsidRPr="00705A1C" w:rsidRDefault="00705A1C" w:rsidP="00384995">
      <w:pPr>
        <w:rPr>
          <w:lang w:val="en-GB"/>
        </w:rPr>
      </w:pPr>
      <w:r w:rsidRPr="00705A1C">
        <w:rPr>
          <w:lang w:val="en-GB"/>
        </w:rPr>
        <w:t xml:space="preserve">New Zealand stands out from other advanced economies in not using dedicated legislative mechanisms to protect critical infrastructure from cyber harm (see Figure 2 for a comparison of global practice). </w:t>
      </w:r>
    </w:p>
    <w:p w14:paraId="7040745E" w14:textId="77777777" w:rsidR="00705A1C" w:rsidRPr="00705A1C" w:rsidRDefault="00705A1C" w:rsidP="00384995">
      <w:pPr>
        <w:rPr>
          <w:lang w:val="en-GB"/>
        </w:rPr>
      </w:pPr>
      <w:r w:rsidRPr="00705A1C">
        <w:rPr>
          <w:lang w:val="en-GB"/>
        </w:rPr>
        <w:t xml:space="preserve">This damages New Zealand’s security and competitiveness. New Zealanders and overseas investors alike need reassurance that New Zealand’s critical infrastructure is well prepared to withstand and quickly recover from cyber incidents. </w:t>
      </w:r>
    </w:p>
    <w:p w14:paraId="73BD3062" w14:textId="77777777" w:rsidR="00705A1C" w:rsidRPr="00705A1C" w:rsidRDefault="00705A1C" w:rsidP="00384995">
      <w:pPr>
        <w:rPr>
          <w:lang w:val="en-GB"/>
        </w:rPr>
      </w:pPr>
      <w:r w:rsidRPr="00705A1C">
        <w:rPr>
          <w:lang w:val="en-GB"/>
        </w:rPr>
        <w:t xml:space="preserve">Global monitoring tools reinforce the need to align with close partners and consider regulatory action to improve the cyber security of New Zealand’s critical infrastructure: </w:t>
      </w:r>
    </w:p>
    <w:p w14:paraId="3BF611B8" w14:textId="77777777" w:rsidR="00705A1C" w:rsidRPr="00705A1C" w:rsidRDefault="00705A1C" w:rsidP="00384995">
      <w:pPr>
        <w:pStyle w:val="Bullets0"/>
        <w:rPr>
          <w:lang w:val="en-GB"/>
        </w:rPr>
      </w:pPr>
      <w:r w:rsidRPr="00705A1C">
        <w:rPr>
          <w:lang w:val="en-GB"/>
        </w:rPr>
        <w:t>The National Cyber Security Index ranks New Zealand 49th in the world and the lowest of the Five Eyes partners.</w:t>
      </w:r>
      <w:r w:rsidRPr="00705A1C">
        <w:rPr>
          <w:vertAlign w:val="superscript"/>
          <w:lang w:val="en-GB"/>
        </w:rPr>
        <w:footnoteReference w:id="8"/>
      </w:r>
      <w:r w:rsidRPr="00705A1C">
        <w:rPr>
          <w:lang w:val="en-GB"/>
        </w:rPr>
        <w:t xml:space="preserve"> New Zealand ranks particularly poorly on factors relating to</w:t>
      </w:r>
      <w:r w:rsidRPr="00705A1C" w:rsidDel="005C3F53">
        <w:rPr>
          <w:lang w:val="en-GB"/>
        </w:rPr>
        <w:t xml:space="preserve"> </w:t>
      </w:r>
      <w:r w:rsidRPr="00705A1C">
        <w:rPr>
          <w:lang w:val="en-GB"/>
        </w:rPr>
        <w:t xml:space="preserve">the cyber security of our critical infrastructure and cyber crisis management. </w:t>
      </w:r>
    </w:p>
    <w:p w14:paraId="6A128BE5" w14:textId="77777777" w:rsidR="00705A1C" w:rsidRPr="00705A1C" w:rsidRDefault="00705A1C" w:rsidP="00384995">
      <w:pPr>
        <w:pStyle w:val="Bullets0"/>
        <w:rPr>
          <w:lang w:val="en-GB"/>
        </w:rPr>
      </w:pPr>
      <w:r w:rsidRPr="00705A1C">
        <w:rPr>
          <w:lang w:val="en-GB"/>
        </w:rPr>
        <w:t>The Global Cybersecurity Index measures the adequacy of countries’ approaches to cyber preparedness. New Zealand ranks in the third tier, as compared to Five Eyes partners and peers in the Asia</w:t>
      </w:r>
      <w:r w:rsidRPr="00705A1C">
        <w:rPr>
          <w:lang w:val="en-GB"/>
        </w:rPr>
        <w:noBreakHyphen/>
        <w:t>Pacific region, who rank in the first tier.</w:t>
      </w:r>
      <w:r w:rsidRPr="00705A1C">
        <w:rPr>
          <w:vertAlign w:val="superscript"/>
          <w:lang w:val="en-GB"/>
        </w:rPr>
        <w:footnoteReference w:id="9"/>
      </w:r>
      <w:r w:rsidRPr="00705A1C">
        <w:rPr>
          <w:lang w:val="en-GB"/>
        </w:rPr>
        <w:t xml:space="preserve"> </w:t>
      </w:r>
    </w:p>
    <w:p w14:paraId="10F980C8" w14:textId="22335BA5" w:rsidR="00DD7BDC" w:rsidRDefault="00DD7BDC">
      <w:pPr>
        <w:suppressAutoHyphens w:val="0"/>
        <w:autoSpaceDE/>
        <w:autoSpaceDN/>
        <w:adjustRightInd/>
        <w:spacing w:after="160" w:line="259" w:lineRule="auto"/>
        <w:textAlignment w:val="auto"/>
        <w:rPr>
          <w:rFonts w:eastAsia="Aptos"/>
          <w:caps/>
          <w:color w:val="191919"/>
          <w:sz w:val="17"/>
          <w:szCs w:val="17"/>
          <w:lang w:val="en-GB"/>
        </w:rPr>
      </w:pPr>
      <w:r>
        <w:rPr>
          <w:rFonts w:eastAsia="Aptos"/>
          <w:caps/>
          <w:color w:val="191919"/>
          <w:sz w:val="17"/>
          <w:szCs w:val="17"/>
          <w:lang w:val="en-GB"/>
        </w:rPr>
        <w:br w:type="page"/>
      </w:r>
    </w:p>
    <w:p w14:paraId="648DB80A" w14:textId="50B7264B" w:rsidR="00705A1C" w:rsidRDefault="00AF5AAA" w:rsidP="00384995">
      <w:pPr>
        <w:pStyle w:val="Heading6"/>
        <w:rPr>
          <w:lang w:val="en-GB"/>
        </w:rPr>
      </w:pPr>
      <w:r>
        <w:rPr>
          <w:lang w:val="en-GB"/>
        </w:rPr>
        <w:lastRenderedPageBreak/>
        <w:drawing>
          <wp:anchor distT="0" distB="0" distL="114300" distR="114300" simplePos="0" relativeHeight="251694110" behindDoc="1" locked="1" layoutInCell="1" allowOverlap="1" wp14:anchorId="2060A26F" wp14:editId="1B6234AA">
            <wp:simplePos x="0" y="0"/>
            <wp:positionH relativeFrom="column">
              <wp:posOffset>-140335</wp:posOffset>
            </wp:positionH>
            <wp:positionV relativeFrom="paragraph">
              <wp:posOffset>-104140</wp:posOffset>
            </wp:positionV>
            <wp:extent cx="5835600" cy="7020000"/>
            <wp:effectExtent l="0" t="0" r="0" b="0"/>
            <wp:wrapNone/>
            <wp:docPr id="102002850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28508" name="Picture 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5600" cy="7020000"/>
                    </a:xfrm>
                    <a:prstGeom prst="rect">
                      <a:avLst/>
                    </a:prstGeom>
                    <a:noFill/>
                  </pic:spPr>
                </pic:pic>
              </a:graphicData>
            </a:graphic>
            <wp14:sizeRelH relativeFrom="margin">
              <wp14:pctWidth>0</wp14:pctWidth>
            </wp14:sizeRelH>
            <wp14:sizeRelV relativeFrom="margin">
              <wp14:pctHeight>0</wp14:pctHeight>
            </wp14:sizeRelV>
          </wp:anchor>
        </w:drawing>
      </w:r>
      <w:r w:rsidR="00705A1C" w:rsidRPr="00705A1C">
        <w:rPr>
          <w:lang w:val="en-GB"/>
        </w:rPr>
        <w:t>Figure 2: International comparisons</w:t>
      </w:r>
    </w:p>
    <w:p w14:paraId="3F62C6CB" w14:textId="1F1ECD74" w:rsidR="00384995" w:rsidRPr="00384995" w:rsidRDefault="00384995" w:rsidP="00384995">
      <w:pPr>
        <w:pStyle w:val="TableHeading2Nospace"/>
      </w:pPr>
      <w:r w:rsidRPr="00705A1C">
        <w:rPr>
          <w:lang w:val="en-GB"/>
        </w:rPr>
        <w:t>Australia</w:t>
      </w:r>
    </w:p>
    <w:p w14:paraId="64F75F62" w14:textId="321088F4" w:rsidR="00384995" w:rsidRPr="00705A1C" w:rsidRDefault="00384995" w:rsidP="00384995">
      <w:pPr>
        <w:rPr>
          <w:lang w:val="en-GB"/>
        </w:rPr>
      </w:pPr>
      <w:r w:rsidRPr="00705A1C">
        <w:rPr>
          <w:lang w:val="en-GB"/>
        </w:rPr>
        <w:t>Australia regulates its critical infrastructure through the Security of Critical Infrastructure Act 2018, which requires entities to register their assets, report cyber incidents, implement a risk management plan (including cyber standards) and comply with government assistance powers in response to serious incidents. Enhanced cyber security obligations also apply to systems of national significance.</w:t>
      </w:r>
    </w:p>
    <w:p w14:paraId="57F12F38" w14:textId="77777777" w:rsidR="00384995" w:rsidRDefault="00384995" w:rsidP="00384995">
      <w:pPr>
        <w:pStyle w:val="TableHeading2Nospace"/>
        <w:rPr>
          <w:lang w:val="en-GB"/>
        </w:rPr>
      </w:pPr>
      <w:r w:rsidRPr="00705A1C">
        <w:rPr>
          <w:lang w:val="en-GB"/>
        </w:rPr>
        <w:t xml:space="preserve">European Union </w:t>
      </w:r>
    </w:p>
    <w:p w14:paraId="0113203A" w14:textId="2205EA10" w:rsidR="00384995" w:rsidRPr="00705A1C" w:rsidRDefault="00384995" w:rsidP="00384995">
      <w:pPr>
        <w:rPr>
          <w:lang w:val="en-GB"/>
        </w:rPr>
      </w:pPr>
      <w:r w:rsidRPr="00705A1C">
        <w:rPr>
          <w:lang w:val="en-GB"/>
        </w:rPr>
        <w:t xml:space="preserve">The European Union uses the NIS2 Directive to require critical infrastructure entities to implement risk management measures, report cyber incidents, maintain incident response capabilities and have a designated officer. </w:t>
      </w:r>
    </w:p>
    <w:p w14:paraId="46A8A2E4" w14:textId="292EBD3A" w:rsidR="00384995" w:rsidRDefault="00384995" w:rsidP="00384995">
      <w:pPr>
        <w:pStyle w:val="TableHeading2Nospace"/>
        <w:rPr>
          <w:lang w:val="en-GB"/>
        </w:rPr>
      </w:pPr>
      <w:r>
        <w:rPr>
          <w:lang w:val="en-GB"/>
        </w:rPr>
        <w:t>United Kingdom</w:t>
      </w:r>
    </w:p>
    <w:p w14:paraId="55C7FA94" w14:textId="5AAD5527" w:rsidR="00384995" w:rsidRPr="00705A1C" w:rsidRDefault="00384995" w:rsidP="00384995">
      <w:pPr>
        <w:rPr>
          <w:lang w:val="en-GB"/>
        </w:rPr>
      </w:pPr>
      <w:r w:rsidRPr="00705A1C">
        <w:rPr>
          <w:lang w:val="en-GB"/>
        </w:rPr>
        <w:t xml:space="preserve">In the UK, the Cyber Security and Resilience Bill </w:t>
      </w:r>
      <w:proofErr w:type="gramStart"/>
      <w:r w:rsidRPr="00705A1C">
        <w:rPr>
          <w:lang w:val="en-GB"/>
        </w:rPr>
        <w:t>was</w:t>
      </w:r>
      <w:proofErr w:type="gramEnd"/>
      <w:r w:rsidRPr="00705A1C">
        <w:rPr>
          <w:lang w:val="en-GB"/>
        </w:rPr>
        <w:t xml:space="preserve"> recently introduced to Parliament to set more robust cyber security requirements akin to the NIS2 Directive, enhance incident reporting obligations and establish executive powers to issue directions in response to cyber threats.</w:t>
      </w:r>
    </w:p>
    <w:p w14:paraId="7AC9D384" w14:textId="77777777" w:rsidR="00384995" w:rsidRDefault="00384995" w:rsidP="00384995">
      <w:pPr>
        <w:pStyle w:val="TableHeading2Nospace"/>
        <w:rPr>
          <w:lang w:val="en-GB"/>
        </w:rPr>
      </w:pPr>
      <w:r w:rsidRPr="00705A1C">
        <w:rPr>
          <w:lang w:val="en-GB"/>
        </w:rPr>
        <w:t xml:space="preserve">Singapore </w:t>
      </w:r>
    </w:p>
    <w:p w14:paraId="73E4F1BB" w14:textId="0FB0556C" w:rsidR="00384995" w:rsidRPr="00705A1C" w:rsidRDefault="00384995" w:rsidP="00384995">
      <w:pPr>
        <w:rPr>
          <w:lang w:val="en-GB"/>
        </w:rPr>
      </w:pPr>
      <w:r w:rsidRPr="00705A1C">
        <w:rPr>
          <w:lang w:val="en-GB"/>
        </w:rPr>
        <w:t>In Singapore, the Cybersecurity Act 2018 established a framework to protect critical information infrastructure against cyber threats. Regulated entities must implement standards, conduct regular audits and risk assessments, report incidents, participate in cyber exercises, appoint a chief information security officer and share threat intelligence.</w:t>
      </w:r>
    </w:p>
    <w:p w14:paraId="098DD857" w14:textId="77777777" w:rsidR="00384995" w:rsidRDefault="00384995" w:rsidP="00384995">
      <w:pPr>
        <w:pStyle w:val="TableHeading2Nospace"/>
        <w:rPr>
          <w:lang w:val="en-GB"/>
        </w:rPr>
      </w:pPr>
      <w:r w:rsidRPr="00705A1C">
        <w:rPr>
          <w:lang w:val="en-GB"/>
        </w:rPr>
        <w:t xml:space="preserve">Canada </w:t>
      </w:r>
    </w:p>
    <w:p w14:paraId="1B1D9874" w14:textId="77777777" w:rsidR="00384995" w:rsidRDefault="00384995" w:rsidP="00384995">
      <w:pPr>
        <w:rPr>
          <w:lang w:val="en-GB"/>
        </w:rPr>
      </w:pPr>
      <w:r w:rsidRPr="00705A1C">
        <w:rPr>
          <w:lang w:val="en-GB"/>
        </w:rPr>
        <w:t>In Canada, Bill C-8 was recently introduced to Parliament to create a cyber security regime for federally regulated critical infrastructure. It will require designated operators to establish a cyber security programme, mitigate supply chain and third-party risks, report cyber incidents and comply with cyber security directions to protect a critical cyber system.</w:t>
      </w:r>
    </w:p>
    <w:bookmarkEnd w:id="17"/>
    <w:bookmarkEnd w:id="18"/>
    <w:p w14:paraId="7A4963FE" w14:textId="77777777" w:rsidR="00384995" w:rsidRDefault="00384995">
      <w:pPr>
        <w:suppressAutoHyphens w:val="0"/>
        <w:autoSpaceDE/>
        <w:autoSpaceDN/>
        <w:adjustRightInd/>
        <w:spacing w:after="160" w:line="259" w:lineRule="auto"/>
        <w:textAlignment w:val="auto"/>
        <w:rPr>
          <w:color w:val="191919"/>
          <w:sz w:val="18"/>
          <w:szCs w:val="18"/>
        </w:rPr>
      </w:pPr>
      <w:r>
        <w:rPr>
          <w:color w:val="191919"/>
          <w:sz w:val="18"/>
          <w:szCs w:val="18"/>
        </w:rPr>
        <w:br w:type="page"/>
      </w:r>
    </w:p>
    <w:p w14:paraId="6EAE6808" w14:textId="51851A28" w:rsidR="00705A1C" w:rsidRPr="00705A1C" w:rsidRDefault="00705A1C" w:rsidP="00384995">
      <w:pPr>
        <w:pStyle w:val="Heading1"/>
      </w:pPr>
      <w:r w:rsidRPr="00705A1C">
        <w:lastRenderedPageBreak/>
        <w:t>What is this consultation about?</w:t>
      </w:r>
    </w:p>
    <w:p w14:paraId="33D9FBB6" w14:textId="77777777" w:rsidR="00705A1C" w:rsidRPr="00705A1C" w:rsidRDefault="00705A1C" w:rsidP="00384995">
      <w:pPr>
        <w:pStyle w:val="Introduction"/>
        <w:spacing w:after="120"/>
      </w:pPr>
      <w:r w:rsidRPr="00705A1C">
        <w:t>This discussion document seeks feedback on two questions:</w:t>
      </w:r>
    </w:p>
    <w:p w14:paraId="4C9A31E2" w14:textId="77777777" w:rsidR="00705A1C" w:rsidRPr="00705A1C" w:rsidRDefault="00705A1C" w:rsidP="00A36A05">
      <w:pPr>
        <w:pStyle w:val="Introduction"/>
        <w:numPr>
          <w:ilvl w:val="0"/>
          <w:numId w:val="11"/>
        </w:numPr>
        <w:spacing w:after="120"/>
        <w:ind w:left="454" w:hanging="454"/>
      </w:pPr>
      <w:bookmarkStart w:id="23" w:name="_Hlk215732926"/>
      <w:bookmarkStart w:id="24" w:name="_Hlk215732794"/>
      <w:r w:rsidRPr="00705A1C">
        <w:t>What are the infrastructure services most critical to our economy and communities</w:t>
      </w:r>
      <w:bookmarkEnd w:id="23"/>
      <w:r w:rsidRPr="00705A1C">
        <w:t xml:space="preserve"> that they should be safeguarded against harm?</w:t>
      </w:r>
    </w:p>
    <w:bookmarkEnd w:id="24"/>
    <w:p w14:paraId="527890DA" w14:textId="77777777" w:rsidR="00705A1C" w:rsidRPr="00705A1C" w:rsidRDefault="00705A1C" w:rsidP="00A36A05">
      <w:pPr>
        <w:pStyle w:val="Introduction"/>
        <w:numPr>
          <w:ilvl w:val="0"/>
          <w:numId w:val="11"/>
        </w:numPr>
        <w:ind w:left="454" w:hanging="454"/>
      </w:pPr>
      <w:r w:rsidRPr="00705A1C">
        <w:t xml:space="preserve">What should the depth of the cyber defences of these infrastructure services be? </w:t>
      </w:r>
    </w:p>
    <w:p w14:paraId="7659EEA8" w14:textId="424DF281" w:rsidR="00705A1C" w:rsidRPr="00705A1C" w:rsidRDefault="00705A1C" w:rsidP="00BD20A2">
      <w:pPr>
        <w:rPr>
          <w:lang w:val="en-GB"/>
        </w:rPr>
      </w:pPr>
      <w:r w:rsidRPr="00705A1C">
        <w:rPr>
          <w:lang w:val="en-GB"/>
        </w:rPr>
        <w:t xml:space="preserve">In response to the first question, the Section 1 sets out an approach for defining critical infrastructure in law to create certainty for infrastructure entities and the pubic as to what critical infrastructure is. </w:t>
      </w:r>
    </w:p>
    <w:p w14:paraId="73259FB6" w14:textId="77777777" w:rsidR="00705A1C" w:rsidRPr="00705A1C" w:rsidRDefault="00705A1C" w:rsidP="00384995">
      <w:pPr>
        <w:rPr>
          <w:lang w:val="en-GB"/>
        </w:rPr>
      </w:pPr>
      <w:r w:rsidRPr="00705A1C">
        <w:rPr>
          <w:lang w:val="en-GB"/>
        </w:rPr>
        <w:t xml:space="preserve">In response to the second question, Section 2 sets out </w:t>
      </w:r>
      <w:r w:rsidRPr="00705A1C">
        <w:rPr>
          <w:b/>
          <w:bCs/>
          <w:lang w:val="en-GB"/>
        </w:rPr>
        <w:t>six proposed voluntary and mandatory measures</w:t>
      </w:r>
      <w:r w:rsidRPr="00705A1C">
        <w:rPr>
          <w:lang w:val="en-GB"/>
        </w:rPr>
        <w:t xml:space="preserve"> that could be adopted independently or as a package to enhance the cyber security of the critical infrastructure system (once it is defined).</w:t>
      </w:r>
    </w:p>
    <w:p w14:paraId="056CEC8D" w14:textId="77777777" w:rsidR="00705A1C" w:rsidRPr="00705A1C" w:rsidRDefault="00705A1C" w:rsidP="00384995">
      <w:pPr>
        <w:rPr>
          <w:lang w:val="en-GB"/>
        </w:rPr>
      </w:pPr>
      <w:r w:rsidRPr="00705A1C">
        <w:rPr>
          <w:lang w:val="en-GB"/>
        </w:rPr>
        <w:t xml:space="preserve">The measures focus on delivering three outcomes: </w:t>
      </w:r>
    </w:p>
    <w:p w14:paraId="3EBB9233" w14:textId="77777777" w:rsidR="00705A1C" w:rsidRPr="00705A1C" w:rsidRDefault="00705A1C" w:rsidP="00384995">
      <w:pPr>
        <w:pStyle w:val="Bullets0"/>
        <w:rPr>
          <w:lang w:val="en-GB"/>
        </w:rPr>
      </w:pPr>
      <w:r w:rsidRPr="00705A1C">
        <w:rPr>
          <w:lang w:val="en-GB"/>
        </w:rPr>
        <w:t>an improved understanding of threats and vulnerabilities by critical infrastructure entities and government (measures 1-4)</w:t>
      </w:r>
    </w:p>
    <w:p w14:paraId="3CE4721D" w14:textId="77777777" w:rsidR="00705A1C" w:rsidRPr="00705A1C" w:rsidRDefault="00705A1C" w:rsidP="00384995">
      <w:pPr>
        <w:pStyle w:val="Bullets0"/>
        <w:rPr>
          <w:lang w:val="en-GB"/>
        </w:rPr>
      </w:pPr>
      <w:r w:rsidRPr="00705A1C">
        <w:rPr>
          <w:lang w:val="en-GB"/>
        </w:rPr>
        <w:t>a minimum level of cyber risk management by all critical infrastructure entities (measure 5)</w:t>
      </w:r>
    </w:p>
    <w:p w14:paraId="22FA963B" w14:textId="77777777" w:rsidR="00705A1C" w:rsidRPr="00705A1C" w:rsidRDefault="00705A1C" w:rsidP="00384995">
      <w:pPr>
        <w:pStyle w:val="Bullets0"/>
        <w:rPr>
          <w:lang w:val="en-GB"/>
        </w:rPr>
      </w:pPr>
      <w:r w:rsidRPr="00705A1C">
        <w:rPr>
          <w:lang w:val="en-GB"/>
        </w:rPr>
        <w:t>effective management of cyber threats impacting national security by critical infrastructure entities (measure 6)</w:t>
      </w:r>
    </w:p>
    <w:p w14:paraId="02622B28" w14:textId="12047E0C" w:rsidR="00705A1C" w:rsidRPr="00705A1C" w:rsidRDefault="00705A1C" w:rsidP="00384995">
      <w:pPr>
        <w:rPr>
          <w:highlight w:val="yellow"/>
          <w:lang w:val="en-GB"/>
        </w:rPr>
      </w:pPr>
      <w:r w:rsidRPr="00705A1C">
        <w:rPr>
          <w:lang w:val="en-GB"/>
        </w:rPr>
        <w:t>Section 3 sets out the proposed approach to monitoring compliance with any mandatory measures that are adopted to ensure that they are having the desired</w:t>
      </w:r>
      <w:r w:rsidR="00BD20A2">
        <w:rPr>
          <w:lang w:val="en-GB"/>
        </w:rPr>
        <w:t> </w:t>
      </w:r>
      <w:r w:rsidRPr="00705A1C">
        <w:rPr>
          <w:lang w:val="en-GB"/>
        </w:rPr>
        <w:t>effect.</w:t>
      </w:r>
    </w:p>
    <w:p w14:paraId="0B1E4938" w14:textId="77777777" w:rsidR="00705A1C" w:rsidRPr="00705A1C" w:rsidRDefault="00705A1C" w:rsidP="00384995">
      <w:pPr>
        <w:rPr>
          <w:lang w:val="en-GB"/>
        </w:rPr>
      </w:pPr>
      <w:r w:rsidRPr="00705A1C">
        <w:rPr>
          <w:lang w:val="en-GB"/>
        </w:rPr>
        <w:lastRenderedPageBreak/>
        <w:t>Consultation</w:t>
      </w:r>
      <w:r w:rsidRPr="00705A1C">
        <w:rPr>
          <w:vertAlign w:val="superscript"/>
          <w:lang w:val="en-GB"/>
        </w:rPr>
        <w:footnoteReference w:id="10"/>
      </w:r>
      <w:r w:rsidRPr="00705A1C">
        <w:rPr>
          <w:lang w:val="en-GB"/>
        </w:rPr>
        <w:t xml:space="preserve"> and targeted engagement undertaken in 2023 and 2024 informed the development of these measures, as did insights from international partners who have developed and implemented similar regimes – particularly Australia’s Security of Critical Infrastructure Act 2018. </w:t>
      </w:r>
    </w:p>
    <w:p w14:paraId="23EB98DA" w14:textId="77777777" w:rsidR="00705A1C" w:rsidRPr="00705A1C" w:rsidRDefault="00705A1C" w:rsidP="00384995">
      <w:pPr>
        <w:rPr>
          <w:lang w:val="en-GB"/>
        </w:rPr>
      </w:pPr>
      <w:r w:rsidRPr="00705A1C">
        <w:rPr>
          <w:lang w:val="en-GB"/>
        </w:rPr>
        <w:t xml:space="preserve">Measures have been evaluated against criteria that reflect the objectives and principles of this work. This detail is set out in </w:t>
      </w:r>
      <w:r w:rsidRPr="00705A1C">
        <w:rPr>
          <w:i/>
          <w:iCs/>
          <w:lang w:val="en-GB"/>
        </w:rPr>
        <w:t>Supplementary Document 1: Policy objectives, principles and assessment of measures</w:t>
      </w:r>
      <w:r w:rsidRPr="00705A1C">
        <w:rPr>
          <w:lang w:val="en-GB"/>
        </w:rPr>
        <w:t>, available on DPMC’s website. This analysis will be updated based on your feedback to inform final proposals for consideration by Cabinet.</w:t>
      </w:r>
    </w:p>
    <w:p w14:paraId="2053B3D0" w14:textId="77777777" w:rsidR="00705A1C" w:rsidRPr="00705A1C" w:rsidRDefault="00705A1C" w:rsidP="00BD7334">
      <w:pPr>
        <w:pStyle w:val="Heading2"/>
      </w:pPr>
      <w:bookmarkStart w:id="25" w:name="_Toc197012717"/>
      <w:bookmarkStart w:id="26" w:name="_Toc197356482"/>
      <w:bookmarkStart w:id="27" w:name="_Toc197537723"/>
      <w:bookmarkStart w:id="28" w:name="_Toc197604229"/>
      <w:bookmarkStart w:id="29" w:name="_Toc197707112"/>
      <w:bookmarkStart w:id="30" w:name="_Toc198204229"/>
      <w:r w:rsidRPr="00705A1C">
        <w:t xml:space="preserve">The benefits of enhanced cyber </w:t>
      </w:r>
      <w:r w:rsidRPr="00705A1C" w:rsidDel="00667F6F">
        <w:t>security</w:t>
      </w:r>
      <w:r w:rsidRPr="00705A1C">
        <w:t xml:space="preserve"> outweigh the costs of compliance</w:t>
      </w:r>
      <w:bookmarkEnd w:id="25"/>
      <w:bookmarkEnd w:id="26"/>
      <w:bookmarkEnd w:id="27"/>
      <w:bookmarkEnd w:id="28"/>
      <w:bookmarkEnd w:id="29"/>
      <w:bookmarkEnd w:id="30"/>
    </w:p>
    <w:p w14:paraId="4625E7E0" w14:textId="1213CF2C" w:rsidR="00705A1C" w:rsidRPr="00705A1C" w:rsidRDefault="00705A1C" w:rsidP="00BD7334">
      <w:pPr>
        <w:rPr>
          <w:lang w:val="en-GB"/>
        </w:rPr>
      </w:pPr>
      <w:r w:rsidRPr="00705A1C">
        <w:rPr>
          <w:lang w:val="en-GB"/>
        </w:rPr>
        <w:t>While there are costs associated with enhancing cyber security, investments in advance of an event are generally acknowledged as being better value for money than enhancing security post</w:t>
      </w:r>
      <w:r w:rsidRPr="00705A1C">
        <w:rPr>
          <w:lang w:val="en-GB"/>
        </w:rPr>
        <w:noBreakHyphen/>
        <w:t xml:space="preserve">event, when the full costs of disruption are </w:t>
      </w:r>
      <w:proofErr w:type="gramStart"/>
      <w:r w:rsidRPr="00705A1C">
        <w:rPr>
          <w:lang w:val="en-GB"/>
        </w:rPr>
        <w:t>taken into</w:t>
      </w:r>
      <w:r w:rsidR="00BD20A2">
        <w:rPr>
          <w:lang w:val="en-GB"/>
        </w:rPr>
        <w:t> </w:t>
      </w:r>
      <w:r w:rsidRPr="00705A1C">
        <w:rPr>
          <w:lang w:val="en-GB"/>
        </w:rPr>
        <w:t>account</w:t>
      </w:r>
      <w:proofErr w:type="gramEnd"/>
      <w:r w:rsidRPr="00705A1C">
        <w:rPr>
          <w:lang w:val="en-GB"/>
        </w:rPr>
        <w:t xml:space="preserve">. </w:t>
      </w:r>
    </w:p>
    <w:p w14:paraId="373D4C23" w14:textId="77777777" w:rsidR="00705A1C" w:rsidRPr="00705A1C" w:rsidRDefault="00705A1C" w:rsidP="00BD7334">
      <w:pPr>
        <w:rPr>
          <w:vertAlign w:val="superscript"/>
          <w:lang w:val="en-GB"/>
        </w:rPr>
      </w:pPr>
      <w:r w:rsidRPr="00705A1C">
        <w:rPr>
          <w:lang w:val="en-GB"/>
        </w:rPr>
        <w:t>Modelling completed by the Australian Government ahead of introducing similar requirements in Australia indicated that the overall benefit of enhancing the security of critical infrastructure is high, with the benefits of disruptions avoided or mitigated exceeding the costs of implementation.</w:t>
      </w:r>
      <w:r w:rsidRPr="00705A1C">
        <w:rPr>
          <w:vertAlign w:val="superscript"/>
          <w:lang w:val="en-GB"/>
        </w:rPr>
        <w:footnoteReference w:id="11"/>
      </w:r>
    </w:p>
    <w:p w14:paraId="38FD50D3" w14:textId="77777777" w:rsidR="00DD7BDC" w:rsidRDefault="00DD7BDC" w:rsidP="00BD7334">
      <w:pPr>
        <w:rPr>
          <w:bCs/>
          <w:spacing w:val="-1"/>
          <w:szCs w:val="16"/>
          <w:vertAlign w:val="superscript"/>
          <w:lang w:eastAsia="ko-KR"/>
        </w:rPr>
      </w:pPr>
      <w:r>
        <w:rPr>
          <w:bCs/>
          <w:spacing w:val="-1"/>
          <w:szCs w:val="16"/>
          <w:vertAlign w:val="superscript"/>
          <w:lang w:eastAsia="ko-KR"/>
        </w:rPr>
        <w:br w:type="page"/>
      </w:r>
    </w:p>
    <w:p w14:paraId="2DC8195E" w14:textId="218BCCBC" w:rsidR="00BD7334" w:rsidRDefault="00BD7334" w:rsidP="00BD7334">
      <w:pPr>
        <w:pStyle w:val="Heading1"/>
      </w:pPr>
      <w:r w:rsidRPr="00BD7334">
        <w:rPr>
          <w:b w:val="0"/>
          <w:bCs/>
        </w:rPr>
        <w:lastRenderedPageBreak/>
        <w:t>Section 1:</w:t>
      </w:r>
      <w:r w:rsidRPr="00BD7334">
        <w:t xml:space="preserve"> </w:t>
      </w:r>
      <w:r>
        <w:br/>
      </w:r>
      <w:r w:rsidRPr="00BD7334">
        <w:t>Defining critical infrastructure</w:t>
      </w:r>
    </w:p>
    <w:p w14:paraId="349AF459" w14:textId="2B13B309" w:rsidR="00705A1C" w:rsidRPr="00705A1C" w:rsidRDefault="00705A1C" w:rsidP="00BD7334">
      <w:pPr>
        <w:pStyle w:val="Introduction"/>
      </w:pPr>
      <w:r w:rsidRPr="00705A1C">
        <w:t>A principles</w:t>
      </w:r>
      <w:r w:rsidRPr="00705A1C">
        <w:noBreakHyphen/>
        <w:t>based approach to defining critical infrastructure will ensure that we identify the infrastructure services most critical to our economy and communities.</w:t>
      </w:r>
    </w:p>
    <w:p w14:paraId="379CD393" w14:textId="77777777" w:rsidR="00705A1C" w:rsidRPr="00705A1C" w:rsidRDefault="00705A1C" w:rsidP="00BD7334">
      <w:pPr>
        <w:rPr>
          <w:lang w:val="en-GB"/>
        </w:rPr>
      </w:pPr>
      <w:r w:rsidRPr="00705A1C">
        <w:rPr>
          <w:lang w:val="en-GB"/>
        </w:rPr>
        <w:t xml:space="preserve">Any new mandatory requirements to enhance cyber security would only apply to </w:t>
      </w:r>
      <w:r w:rsidRPr="00705A1C">
        <w:rPr>
          <w:b/>
          <w:lang w:val="en-GB"/>
        </w:rPr>
        <w:t>critical infrastructure</w:t>
      </w:r>
      <w:r w:rsidRPr="00705A1C">
        <w:rPr>
          <w:bCs/>
          <w:lang w:val="en-GB"/>
        </w:rPr>
        <w:t xml:space="preserve"> – targeting the services that matter most to our economy and communities</w:t>
      </w:r>
      <w:r w:rsidRPr="00705A1C">
        <w:rPr>
          <w:b/>
          <w:bCs/>
          <w:lang w:val="en-GB"/>
        </w:rPr>
        <w:t>.</w:t>
      </w:r>
      <w:r w:rsidRPr="00705A1C">
        <w:rPr>
          <w:lang w:val="en-GB"/>
        </w:rPr>
        <w:t xml:space="preserve"> </w:t>
      </w:r>
    </w:p>
    <w:p w14:paraId="166D6EB2" w14:textId="77777777" w:rsidR="00705A1C" w:rsidRPr="00705A1C" w:rsidRDefault="00705A1C" w:rsidP="00BD7334">
      <w:pPr>
        <w:rPr>
          <w:lang w:val="en-GB"/>
        </w:rPr>
      </w:pPr>
      <w:r w:rsidRPr="00705A1C">
        <w:rPr>
          <w:lang w:val="en-GB"/>
        </w:rPr>
        <w:t>To provide clarity on what constitutes critical infrastructure, a new definition is proposed for inclusion in New Zealand law (see Figure 3).</w:t>
      </w:r>
    </w:p>
    <w:p w14:paraId="7F3C504B" w14:textId="3B9F9423" w:rsidR="00705A1C" w:rsidRPr="00705A1C" w:rsidRDefault="00705A1C" w:rsidP="00BD7334">
      <w:pPr>
        <w:rPr>
          <w:lang w:val="en-GB"/>
        </w:rPr>
      </w:pPr>
      <w:r w:rsidRPr="00705A1C">
        <w:rPr>
          <w:lang w:val="en-GB"/>
        </w:rPr>
        <w:t>From an initial assessment, the proposed definition could capture approximately 200 of New Zealand’s most significant infrastructure entities across seven essential services:</w:t>
      </w:r>
      <w:r w:rsidRPr="00705A1C">
        <w:rPr>
          <w:vertAlign w:val="superscript"/>
          <w:lang w:val="en-GB"/>
        </w:rPr>
        <w:footnoteReference w:id="12"/>
      </w:r>
      <w:r w:rsidRPr="00705A1C">
        <w:rPr>
          <w:lang w:val="en-GB"/>
        </w:rPr>
        <w:t xml:space="preserve"> </w:t>
      </w:r>
    </w:p>
    <w:p w14:paraId="47E13ED6" w14:textId="77777777" w:rsidR="00705A1C" w:rsidRPr="00BD7334" w:rsidRDefault="00705A1C" w:rsidP="00BD7334">
      <w:pPr>
        <w:pStyle w:val="Bullets0"/>
      </w:pPr>
      <w:r w:rsidRPr="00BD7334">
        <w:t>communications and data</w:t>
      </w:r>
    </w:p>
    <w:p w14:paraId="27347FAB" w14:textId="77777777" w:rsidR="00705A1C" w:rsidRPr="00BD7334" w:rsidRDefault="00705A1C" w:rsidP="00BD7334">
      <w:pPr>
        <w:pStyle w:val="Bullets0"/>
      </w:pPr>
      <w:r w:rsidRPr="00BD7334">
        <w:t>defence</w:t>
      </w:r>
    </w:p>
    <w:p w14:paraId="24129A7D" w14:textId="77777777" w:rsidR="00705A1C" w:rsidRPr="00BD7334" w:rsidRDefault="00705A1C" w:rsidP="00BD7334">
      <w:pPr>
        <w:pStyle w:val="Bullets0"/>
      </w:pPr>
      <w:r w:rsidRPr="00BD7334">
        <w:t>energy</w:t>
      </w:r>
    </w:p>
    <w:p w14:paraId="78BD7F4E" w14:textId="30F44A2B" w:rsidR="00705A1C" w:rsidRPr="00BD7334" w:rsidRDefault="00705A1C" w:rsidP="00BD7334">
      <w:pPr>
        <w:pStyle w:val="Bullets0"/>
      </w:pPr>
      <w:r w:rsidRPr="00BD7334">
        <w:t>finance</w:t>
      </w:r>
    </w:p>
    <w:p w14:paraId="18C9C1A2" w14:textId="77777777" w:rsidR="00705A1C" w:rsidRPr="00BD7334" w:rsidRDefault="00705A1C" w:rsidP="00BD7334">
      <w:pPr>
        <w:pStyle w:val="Bullets0"/>
      </w:pPr>
      <w:r w:rsidRPr="00BD7334">
        <w:t>health</w:t>
      </w:r>
    </w:p>
    <w:p w14:paraId="0F1625B8" w14:textId="77777777" w:rsidR="00705A1C" w:rsidRPr="00BD7334" w:rsidRDefault="00705A1C" w:rsidP="00BD7334">
      <w:pPr>
        <w:pStyle w:val="Bullets0"/>
      </w:pPr>
      <w:r w:rsidRPr="00BD7334">
        <w:t>transport</w:t>
      </w:r>
    </w:p>
    <w:p w14:paraId="5FB1AA5B" w14:textId="77777777" w:rsidR="00705A1C" w:rsidRPr="00BD7334" w:rsidRDefault="00705A1C" w:rsidP="00BD7334">
      <w:pPr>
        <w:pStyle w:val="Bullets0"/>
      </w:pPr>
      <w:r w:rsidRPr="00BD7334">
        <w:t xml:space="preserve">drinking water and wastewater. </w:t>
      </w:r>
    </w:p>
    <w:p w14:paraId="3DE14CD6" w14:textId="77777777" w:rsidR="00705A1C" w:rsidRPr="00705A1C" w:rsidRDefault="00705A1C" w:rsidP="00BD7334">
      <w:pPr>
        <w:keepNext/>
        <w:keepLines/>
        <w:rPr>
          <w:lang w:val="en-GB"/>
        </w:rPr>
      </w:pPr>
      <w:r w:rsidRPr="00705A1C">
        <w:rPr>
          <w:lang w:val="en-GB"/>
        </w:rPr>
        <w:lastRenderedPageBreak/>
        <w:t xml:space="preserve">Some critical infrastructure components are so integral to the functioning of New Zealand to warrant more robust protection against cyber threats. To enable additional obligations to apply to these components, a very small subset of critical infrastructure would be designated as </w:t>
      </w:r>
      <w:r w:rsidRPr="00705A1C">
        <w:rPr>
          <w:b/>
          <w:lang w:val="en-GB"/>
        </w:rPr>
        <w:t>critical infrastructure of national significance</w:t>
      </w:r>
      <w:r w:rsidRPr="00705A1C">
        <w:rPr>
          <w:lang w:val="en-GB"/>
        </w:rPr>
        <w:t xml:space="preserve"> (CINS). </w:t>
      </w:r>
    </w:p>
    <w:p w14:paraId="074D772D" w14:textId="77777777" w:rsidR="00705A1C" w:rsidRPr="00705A1C" w:rsidRDefault="00705A1C" w:rsidP="00BD7334">
      <w:pPr>
        <w:pStyle w:val="Heading2"/>
      </w:pPr>
      <w:r w:rsidRPr="00705A1C">
        <w:t>Designating critical infrastructure</w:t>
      </w:r>
    </w:p>
    <w:p w14:paraId="41E1AD20" w14:textId="77777777" w:rsidR="00705A1C" w:rsidRPr="00705A1C" w:rsidRDefault="00705A1C" w:rsidP="00BD7334">
      <w:pPr>
        <w:rPr>
          <w:lang w:val="en-GB"/>
        </w:rPr>
      </w:pPr>
      <w:r w:rsidRPr="00705A1C">
        <w:rPr>
          <w:lang w:val="en-GB"/>
        </w:rPr>
        <w:t>Likely using regulations, thresholds would be set to clarify the type and level of service provision that meets the definition of critical infrastructure. Draft thresholds are set out on the following pages.</w:t>
      </w:r>
    </w:p>
    <w:p w14:paraId="09BB6BCF" w14:textId="590582BB" w:rsidR="00705A1C" w:rsidRPr="00705A1C" w:rsidRDefault="00705A1C" w:rsidP="00BD7334">
      <w:pPr>
        <w:rPr>
          <w:lang w:val="en-GB"/>
        </w:rPr>
      </w:pPr>
      <w:r w:rsidRPr="00705A1C">
        <w:rPr>
          <w:lang w:val="en-GB"/>
        </w:rPr>
        <w:t>Entities that provide essential services at or above the stipulated threshold –</w:t>
      </w:r>
      <w:r w:rsidR="00BD7334">
        <w:rPr>
          <w:lang w:val="en-GB"/>
        </w:rPr>
        <w:t> </w:t>
      </w:r>
      <w:r w:rsidRPr="00705A1C">
        <w:rPr>
          <w:lang w:val="en-GB"/>
        </w:rPr>
        <w:t>with</w:t>
      </w:r>
      <w:r w:rsidR="00BD7334">
        <w:rPr>
          <w:lang w:val="en-GB"/>
        </w:rPr>
        <w:t> </w:t>
      </w:r>
      <w:r w:rsidRPr="00705A1C">
        <w:rPr>
          <w:lang w:val="en-GB"/>
        </w:rPr>
        <w:t>components located within New Zealand – would be required to notify the</w:t>
      </w:r>
      <w:r w:rsidR="00BD7334">
        <w:rPr>
          <w:lang w:val="en-GB"/>
        </w:rPr>
        <w:t> </w:t>
      </w:r>
      <w:r w:rsidRPr="00705A1C">
        <w:rPr>
          <w:lang w:val="en-GB"/>
        </w:rPr>
        <w:t>government of their status. The government would keep a list of critical infrastructure entities informed by these notifications and use this information to help map New Zealand’s critical infrastructure system (including dependencies and interdependencies).</w:t>
      </w:r>
    </w:p>
    <w:p w14:paraId="7623AD1A" w14:textId="77777777" w:rsidR="00705A1C" w:rsidRPr="00705A1C" w:rsidRDefault="00705A1C" w:rsidP="00BD7334">
      <w:pPr>
        <w:rPr>
          <w:lang w:val="en-GB"/>
        </w:rPr>
      </w:pPr>
      <w:r w:rsidRPr="00705A1C">
        <w:rPr>
          <w:lang w:val="en-GB"/>
        </w:rPr>
        <w:t xml:space="preserve">Thresholds will not always account for the important dependencies that underpin New Zealand’s prosperity or security. Similarly, thresholds could capture components or entities that result in unintended or perverse consequences, undermining the regulation’s intent. </w:t>
      </w:r>
    </w:p>
    <w:p w14:paraId="51B4B488" w14:textId="77777777" w:rsidR="00705A1C" w:rsidRPr="00705A1C" w:rsidRDefault="00705A1C" w:rsidP="00BD7334">
      <w:pPr>
        <w:rPr>
          <w:lang w:val="en-GB"/>
        </w:rPr>
      </w:pPr>
      <w:r w:rsidRPr="00705A1C">
        <w:rPr>
          <w:lang w:val="en-GB"/>
        </w:rPr>
        <w:t>The Minister responsible</w:t>
      </w:r>
      <w:r w:rsidRPr="00705A1C">
        <w:rPr>
          <w:vertAlign w:val="superscript"/>
          <w:lang w:val="en-GB"/>
        </w:rPr>
        <w:footnoteReference w:id="13"/>
      </w:r>
      <w:r w:rsidRPr="00705A1C">
        <w:rPr>
          <w:lang w:val="en-GB"/>
        </w:rPr>
        <w:t xml:space="preserve"> would therefore have powers to: </w:t>
      </w:r>
    </w:p>
    <w:p w14:paraId="1C7EA970" w14:textId="77777777" w:rsidR="00705A1C" w:rsidRPr="00705A1C" w:rsidRDefault="00705A1C" w:rsidP="00BD7334">
      <w:pPr>
        <w:pStyle w:val="Bullets0"/>
        <w:rPr>
          <w:lang w:val="en-GB"/>
        </w:rPr>
      </w:pPr>
      <w:r w:rsidRPr="00705A1C">
        <w:rPr>
          <w:lang w:val="en-GB"/>
        </w:rPr>
        <w:t>designate certain components or entities as critical infrastructure</w:t>
      </w:r>
    </w:p>
    <w:p w14:paraId="4236F3F8" w14:textId="77777777" w:rsidR="00705A1C" w:rsidRPr="00705A1C" w:rsidRDefault="00705A1C" w:rsidP="00BD7334">
      <w:pPr>
        <w:pStyle w:val="Bullets0"/>
        <w:rPr>
          <w:lang w:val="en-GB"/>
        </w:rPr>
      </w:pPr>
      <w:r w:rsidRPr="00705A1C">
        <w:rPr>
          <w:lang w:val="en-GB"/>
        </w:rPr>
        <w:t>exempt entities that meet the definition of critical infrastructure from all or some of the legal obligations of the proposed regime.</w:t>
      </w:r>
    </w:p>
    <w:p w14:paraId="513A5978" w14:textId="77777777" w:rsidR="00705A1C" w:rsidRPr="00705A1C" w:rsidRDefault="00705A1C" w:rsidP="00BD7334">
      <w:pPr>
        <w:rPr>
          <w:lang w:val="en-GB"/>
        </w:rPr>
      </w:pPr>
      <w:r w:rsidRPr="00705A1C">
        <w:rPr>
          <w:lang w:val="en-GB"/>
        </w:rPr>
        <w:t>Once a decision to designate or exempt an entity has been made, the Minister responsible would be required to table a statement of reasons in Parliament.</w:t>
      </w:r>
    </w:p>
    <w:p w14:paraId="4A991451" w14:textId="6F076215" w:rsidR="00705A1C" w:rsidRPr="00705A1C" w:rsidRDefault="00705A1C" w:rsidP="00BD7334">
      <w:pPr>
        <w:pStyle w:val="Heading2"/>
      </w:pPr>
      <w:r w:rsidRPr="00705A1C">
        <w:lastRenderedPageBreak/>
        <w:t xml:space="preserve">Designating critical infrastructure of national significance </w:t>
      </w:r>
    </w:p>
    <w:p w14:paraId="6DAD319A" w14:textId="77777777" w:rsidR="00705A1C" w:rsidRPr="00705A1C" w:rsidRDefault="00705A1C" w:rsidP="00BD7334">
      <w:pPr>
        <w:rPr>
          <w:lang w:val="en-GB"/>
        </w:rPr>
      </w:pPr>
      <w:r w:rsidRPr="00705A1C">
        <w:rPr>
          <w:lang w:val="en-GB"/>
        </w:rPr>
        <w:t>The potential number of components that would be designated as critical infrastructure of national significance is not possible to estimate at this time. This is because designation would be on a case</w:t>
      </w:r>
      <w:r w:rsidRPr="00705A1C">
        <w:rPr>
          <w:lang w:val="en-GB"/>
        </w:rPr>
        <w:noBreakHyphen/>
        <w:t>by</w:t>
      </w:r>
      <w:r w:rsidRPr="00705A1C">
        <w:rPr>
          <w:lang w:val="en-GB"/>
        </w:rPr>
        <w:noBreakHyphen/>
        <w:t>case basis once government has the necessary information to identify and map interdependencies between critical infrastructure entities.</w:t>
      </w:r>
    </w:p>
    <w:p w14:paraId="2854DA68" w14:textId="77777777" w:rsidR="00705A1C" w:rsidRPr="00705A1C" w:rsidRDefault="00705A1C" w:rsidP="00BD7334">
      <w:pPr>
        <w:rPr>
          <w:lang w:val="en-GB"/>
        </w:rPr>
      </w:pPr>
      <w:r w:rsidRPr="00705A1C">
        <w:rPr>
          <w:lang w:val="en-GB"/>
        </w:rPr>
        <w:t>The power to designate components as critical infrastructure of national significance would be vested in the Minister responsible. Factors considered in making a declaration include:</w:t>
      </w:r>
    </w:p>
    <w:p w14:paraId="5A4B8C31" w14:textId="77777777" w:rsidR="00705A1C" w:rsidRPr="00705A1C" w:rsidRDefault="00705A1C" w:rsidP="00BD7334">
      <w:pPr>
        <w:pStyle w:val="Bullets0"/>
        <w:rPr>
          <w:lang w:val="en-GB"/>
        </w:rPr>
      </w:pPr>
      <w:r w:rsidRPr="00705A1C">
        <w:rPr>
          <w:lang w:val="en-GB"/>
        </w:rPr>
        <w:t>the extent of cross</w:t>
      </w:r>
      <w:r w:rsidRPr="00705A1C">
        <w:rPr>
          <w:lang w:val="en-GB"/>
        </w:rPr>
        <w:noBreakHyphen/>
        <w:t>sector interdependencies (and therefore potential for any disruption to have cascading consequences across the critical infrastructure system)</w:t>
      </w:r>
    </w:p>
    <w:p w14:paraId="1F4E076C" w14:textId="77777777" w:rsidR="00705A1C" w:rsidRPr="00705A1C" w:rsidRDefault="00705A1C" w:rsidP="00BD7334">
      <w:pPr>
        <w:pStyle w:val="Bullets0"/>
        <w:rPr>
          <w:lang w:val="en-GB"/>
        </w:rPr>
      </w:pPr>
      <w:r w:rsidRPr="00705A1C">
        <w:rPr>
          <w:lang w:val="en-GB"/>
        </w:rPr>
        <w:t>the severity and extent of harm that may be caused to New Zealand’s society, security or economy if the service was degraded, disrupted or otherwise compromised</w:t>
      </w:r>
    </w:p>
    <w:p w14:paraId="0F7F88FD" w14:textId="77777777" w:rsidR="00705A1C" w:rsidRPr="00705A1C" w:rsidRDefault="00705A1C" w:rsidP="00BD7334">
      <w:pPr>
        <w:pStyle w:val="Bullets0"/>
        <w:rPr>
          <w:lang w:val="en-GB"/>
        </w:rPr>
      </w:pPr>
      <w:r w:rsidRPr="00705A1C">
        <w:rPr>
          <w:lang w:val="en-GB"/>
        </w:rPr>
        <w:t xml:space="preserve">other matters considered relevant by the Minister. </w:t>
      </w:r>
    </w:p>
    <w:p w14:paraId="2AB701B7" w14:textId="77777777" w:rsidR="00705A1C" w:rsidRPr="00705A1C" w:rsidRDefault="00705A1C" w:rsidP="00BD7334">
      <w:pPr>
        <w:rPr>
          <w:lang w:val="en-GB"/>
        </w:rPr>
      </w:pPr>
      <w:r w:rsidRPr="00705A1C">
        <w:rPr>
          <w:lang w:val="en-GB"/>
        </w:rPr>
        <w:t>Before</w:t>
      </w:r>
      <w:r w:rsidRPr="00705A1C" w:rsidDel="004B4B6A">
        <w:rPr>
          <w:lang w:val="en-GB"/>
        </w:rPr>
        <w:t xml:space="preserve"> making </w:t>
      </w:r>
      <w:r w:rsidRPr="00705A1C">
        <w:rPr>
          <w:lang w:val="en-GB"/>
        </w:rPr>
        <w:t>any designation, the responsible entity would be notified and given the opportunity to provide feedback. Any designation would be privately declared, rather than disclosed publicly, for reasons of security.</w:t>
      </w:r>
    </w:p>
    <w:p w14:paraId="13639993" w14:textId="77777777" w:rsidR="00DD7BDC" w:rsidRDefault="00DD7BDC" w:rsidP="00BD7334">
      <w:pPr>
        <w:rPr>
          <w:caps/>
          <w:sz w:val="17"/>
          <w:szCs w:val="17"/>
          <w:lang w:val="en-GB"/>
        </w:rPr>
      </w:pPr>
      <w:r>
        <w:rPr>
          <w:caps/>
          <w:sz w:val="17"/>
          <w:szCs w:val="17"/>
          <w:lang w:val="en-GB"/>
        </w:rPr>
        <w:br w:type="page"/>
      </w:r>
    </w:p>
    <w:p w14:paraId="49C99EF9" w14:textId="5B69F45E" w:rsidR="00705A1C" w:rsidRPr="00705A1C" w:rsidRDefault="00AF5AAA" w:rsidP="00BD7334">
      <w:pPr>
        <w:pStyle w:val="Heading6"/>
        <w:rPr>
          <w:lang w:val="en-GB"/>
        </w:rPr>
      </w:pPr>
      <w:r>
        <w:rPr>
          <w:lang w:val="en-GB"/>
        </w:rPr>
        <w:lastRenderedPageBreak/>
        <w:drawing>
          <wp:anchor distT="0" distB="0" distL="114300" distR="114300" simplePos="0" relativeHeight="251693086" behindDoc="1" locked="1" layoutInCell="1" allowOverlap="1" wp14:anchorId="43258EAD" wp14:editId="0BFFACCE">
            <wp:simplePos x="0" y="0"/>
            <wp:positionH relativeFrom="column">
              <wp:posOffset>-144145</wp:posOffset>
            </wp:positionH>
            <wp:positionV relativeFrom="paragraph">
              <wp:posOffset>-114935</wp:posOffset>
            </wp:positionV>
            <wp:extent cx="5835600" cy="5011200"/>
            <wp:effectExtent l="0" t="0" r="0" b="0"/>
            <wp:wrapNone/>
            <wp:docPr id="95631882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18828" name="Picture 3">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5600" cy="5011200"/>
                    </a:xfrm>
                    <a:prstGeom prst="rect">
                      <a:avLst/>
                    </a:prstGeom>
                    <a:noFill/>
                  </pic:spPr>
                </pic:pic>
              </a:graphicData>
            </a:graphic>
            <wp14:sizeRelH relativeFrom="margin">
              <wp14:pctWidth>0</wp14:pctWidth>
            </wp14:sizeRelH>
            <wp14:sizeRelV relativeFrom="margin">
              <wp14:pctHeight>0</wp14:pctHeight>
            </wp14:sizeRelV>
          </wp:anchor>
        </w:drawing>
      </w:r>
      <w:r w:rsidR="00705A1C" w:rsidRPr="00705A1C">
        <w:rPr>
          <w:lang w:val="en-GB"/>
        </w:rPr>
        <w:t>Figure 3: Proposed approach to defining New Zealand’s critical infrastructure system</w:t>
      </w:r>
    </w:p>
    <w:p w14:paraId="607F4F2B" w14:textId="77777777" w:rsidR="00AF5AAA" w:rsidRDefault="00AF5AAA" w:rsidP="00AF5AAA">
      <w:pPr>
        <w:pStyle w:val="TableHeading1"/>
      </w:pPr>
      <w:r>
        <w:t>CNS</w:t>
      </w:r>
    </w:p>
    <w:p w14:paraId="0F0D1F35" w14:textId="730BAB11" w:rsidR="00AF5AAA" w:rsidRDefault="00AF5AAA" w:rsidP="00AF5AAA">
      <w:r w:rsidRPr="00FF1A6E">
        <w:rPr>
          <w:b/>
          <w:bCs/>
        </w:rPr>
        <w:t>Critical infrastructure of national significance</w:t>
      </w:r>
      <w:r>
        <w:t xml:space="preserve"> components providing essential services, which if disrupted, would have severely debilitating national consequences. e.g. core components for the operation of the national grid.</w:t>
      </w:r>
    </w:p>
    <w:p w14:paraId="0572EE07" w14:textId="77777777" w:rsidR="00AF5AAA" w:rsidRDefault="00AF5AAA" w:rsidP="00AF5AAA">
      <w:pPr>
        <w:pStyle w:val="TableHeading1"/>
      </w:pPr>
      <w:r w:rsidRPr="00FF1A6E">
        <w:t>Critical infrastructure</w:t>
      </w:r>
    </w:p>
    <w:p w14:paraId="252237BE" w14:textId="77777777" w:rsidR="00AF5AAA" w:rsidRDefault="00AF5AAA" w:rsidP="00AF5AAA">
      <w:r w:rsidRPr="00FF1A6E">
        <w:rPr>
          <w:b/>
          <w:bCs/>
        </w:rPr>
        <w:t>Critical infrastructure</w:t>
      </w:r>
      <w:r w:rsidRPr="00FF1A6E">
        <w:t xml:space="preserve"> provides essential services, which if disrupted, would have national or otherwise significant and/or widespread consequences. e.g. electricity generation over 30MW in aggregate.</w:t>
      </w:r>
    </w:p>
    <w:p w14:paraId="2CC14C84" w14:textId="77777777" w:rsidR="00AF5AAA" w:rsidRDefault="00AF5AAA" w:rsidP="00AF5AAA">
      <w:pPr>
        <w:pStyle w:val="TableHeading1"/>
      </w:pPr>
      <w:r w:rsidRPr="00FF1A6E">
        <w:t>Essential infrastructure</w:t>
      </w:r>
    </w:p>
    <w:p w14:paraId="0EA12B4A" w14:textId="77777777" w:rsidR="00AF5AAA" w:rsidRDefault="00AF5AAA" w:rsidP="00AF5AAA">
      <w:r w:rsidRPr="00FF1A6E">
        <w:rPr>
          <w:b/>
          <w:bCs/>
        </w:rPr>
        <w:t>Essential infrastructure</w:t>
      </w:r>
      <w:r w:rsidRPr="00FF1A6E">
        <w:t xml:space="preserve"> provides </w:t>
      </w:r>
      <w:r w:rsidRPr="00FF1A6E">
        <w:rPr>
          <w:b/>
          <w:bCs/>
        </w:rPr>
        <w:t>essential services</w:t>
      </w:r>
      <w:r w:rsidRPr="00FF1A6E">
        <w:t xml:space="preserve"> that enable public order or safety, public health, national security, or the functioning of the economy or society. e.g. electricity generation, transmission and distribution.</w:t>
      </w:r>
    </w:p>
    <w:p w14:paraId="5806665C" w14:textId="77777777" w:rsidR="00AF5AAA" w:rsidRDefault="00AF5AAA" w:rsidP="00AF5AAA">
      <w:pPr>
        <w:pStyle w:val="TableHeading1"/>
      </w:pPr>
      <w:r w:rsidRPr="00FF1A6E">
        <w:t>Infrastructure</w:t>
      </w:r>
    </w:p>
    <w:p w14:paraId="0891C545" w14:textId="77777777" w:rsidR="00AF5AAA" w:rsidRPr="0061740B" w:rsidRDefault="00AF5AAA" w:rsidP="00AF5AAA">
      <w:pPr>
        <w:spacing w:after="600"/>
        <w:rPr>
          <w:spacing w:val="-2"/>
        </w:rPr>
      </w:pPr>
      <w:r w:rsidRPr="0061740B">
        <w:rPr>
          <w:b/>
          <w:bCs/>
          <w:spacing w:val="-2"/>
        </w:rPr>
        <w:t>Infrastructure</w:t>
      </w:r>
      <w:r w:rsidRPr="0061740B">
        <w:rPr>
          <w:spacing w:val="-2"/>
        </w:rPr>
        <w:t xml:space="preserve"> includes networks that provide services like communications, energy, transport, and water, and social infrastructure, like education and research facilities, justice precincts, and community facilities, like parks and stadiums.</w:t>
      </w:r>
    </w:p>
    <w:p w14:paraId="1AF3549A" w14:textId="77777777" w:rsidR="00705A1C" w:rsidRPr="00705A1C" w:rsidRDefault="00705A1C" w:rsidP="00AF5AAA">
      <w:pPr>
        <w:rPr>
          <w:lang w:val="en-GB"/>
        </w:rPr>
      </w:pPr>
      <w:r w:rsidRPr="00705A1C">
        <w:rPr>
          <w:lang w:val="en-GB"/>
        </w:rPr>
        <w:t>Other key definitions include:</w:t>
      </w:r>
    </w:p>
    <w:p w14:paraId="04015072" w14:textId="77777777" w:rsidR="00705A1C" w:rsidRPr="00705A1C" w:rsidRDefault="00705A1C" w:rsidP="00AF5AAA">
      <w:pPr>
        <w:pStyle w:val="Bullets0"/>
        <w:rPr>
          <w:lang w:val="en-GB"/>
        </w:rPr>
      </w:pPr>
      <w:r w:rsidRPr="00705A1C">
        <w:rPr>
          <w:lang w:val="en-GB"/>
        </w:rPr>
        <w:t xml:space="preserve">Components: </w:t>
      </w:r>
      <w:bookmarkStart w:id="31" w:name="_Hlk219277740"/>
      <w:r w:rsidRPr="00705A1C">
        <w:rPr>
          <w:lang w:val="en-GB"/>
        </w:rPr>
        <w:t>assets, information, networks, systems, suppliers, people and processes</w:t>
      </w:r>
      <w:bookmarkEnd w:id="31"/>
      <w:r w:rsidRPr="00705A1C">
        <w:rPr>
          <w:lang w:val="en-GB"/>
        </w:rPr>
        <w:t>.</w:t>
      </w:r>
    </w:p>
    <w:p w14:paraId="4177D73E" w14:textId="77777777" w:rsidR="00705A1C" w:rsidRPr="00705A1C" w:rsidRDefault="00705A1C" w:rsidP="00AF5AAA">
      <w:pPr>
        <w:pStyle w:val="Bullets0"/>
        <w:rPr>
          <w:lang w:val="en-GB"/>
        </w:rPr>
      </w:pPr>
      <w:r w:rsidRPr="00705A1C">
        <w:rPr>
          <w:lang w:val="en-GB"/>
        </w:rPr>
        <w:t>Critical components: the components that are necessary</w:t>
      </w:r>
      <w:r w:rsidRPr="00705A1C">
        <w:rPr>
          <w:vertAlign w:val="superscript"/>
          <w:lang w:val="en-GB"/>
        </w:rPr>
        <w:footnoteReference w:id="14"/>
      </w:r>
      <w:r w:rsidRPr="00705A1C">
        <w:rPr>
          <w:vertAlign w:val="superscript"/>
          <w:lang w:val="en-GB"/>
        </w:rPr>
        <w:t xml:space="preserve"> </w:t>
      </w:r>
      <w:r w:rsidRPr="00705A1C">
        <w:rPr>
          <w:lang w:val="en-GB"/>
        </w:rPr>
        <w:t>to the delivery of the relevant essential service, as determined by a reasonable person in the same set of circumstances.</w:t>
      </w:r>
    </w:p>
    <w:p w14:paraId="46334E02" w14:textId="77777777" w:rsidR="00DD7BDC" w:rsidRDefault="00DD7BDC" w:rsidP="00AF5AAA">
      <w:pPr>
        <w:rPr>
          <w:lang w:val="en-GB"/>
        </w:rPr>
      </w:pPr>
      <w:r>
        <w:rPr>
          <w:lang w:val="en-GB"/>
        </w:rPr>
        <w:br w:type="page"/>
      </w:r>
    </w:p>
    <w:p w14:paraId="12C57025" w14:textId="550EBA20" w:rsidR="00705A1C" w:rsidRPr="00A0552E" w:rsidRDefault="00705A1C" w:rsidP="00A0552E">
      <w:pPr>
        <w:pStyle w:val="Heading1"/>
      </w:pPr>
      <w:r w:rsidRPr="00A0552E">
        <w:lastRenderedPageBreak/>
        <w:t>Proposed critical infrastructure thresholds</w:t>
      </w:r>
    </w:p>
    <w:p w14:paraId="3B6BF31D" w14:textId="77777777" w:rsidR="00705A1C" w:rsidRPr="00705A1C" w:rsidRDefault="00705A1C" w:rsidP="00E80448">
      <w:pPr>
        <w:pStyle w:val="Introduction"/>
      </w:pPr>
      <w:r w:rsidRPr="00705A1C">
        <w:t xml:space="preserve">Thresholds would give effect to the principles-based definition of critical infrastructure across different types of essential services. </w:t>
      </w:r>
    </w:p>
    <w:p w14:paraId="375A77CD" w14:textId="7CCF6E04" w:rsidR="00705A1C" w:rsidRPr="00705A1C" w:rsidRDefault="00705A1C" w:rsidP="00BD20A2">
      <w:pPr>
        <w:rPr>
          <w:lang w:val="en-GB"/>
        </w:rPr>
      </w:pPr>
      <w:r w:rsidRPr="00705A1C">
        <w:rPr>
          <w:lang w:val="en-GB"/>
        </w:rPr>
        <w:t>Your feedback will inform refinement of these critical infrastructure thresholds. For</w:t>
      </w:r>
      <w:r w:rsidR="00BD20A2">
        <w:rPr>
          <w:lang w:val="en-GB"/>
        </w:rPr>
        <w:t> </w:t>
      </w:r>
      <w:r w:rsidRPr="00705A1C">
        <w:rPr>
          <w:lang w:val="en-GB"/>
        </w:rPr>
        <w:t xml:space="preserve">further detail on each essential service and the rationale for the proposed thresholds, see </w:t>
      </w:r>
      <w:r w:rsidRPr="00705A1C">
        <w:rPr>
          <w:i/>
          <w:iCs/>
          <w:lang w:val="en-GB"/>
        </w:rPr>
        <w:t>Supplementary Document 2: Defining critical infrastructure</w:t>
      </w:r>
      <w:r w:rsidRPr="00705A1C">
        <w:rPr>
          <w:lang w:val="en-GB"/>
        </w:rPr>
        <w:t>, available on DPMC’s website.</w:t>
      </w:r>
    </w:p>
    <w:p w14:paraId="24B2CC44" w14:textId="77777777" w:rsidR="00705A1C" w:rsidRPr="00705A1C" w:rsidRDefault="00705A1C" w:rsidP="00A0552E">
      <w:pPr>
        <w:pStyle w:val="Heading2"/>
      </w:pPr>
      <w:r w:rsidRPr="00705A1C">
        <w:t>Communications and data</w:t>
      </w:r>
    </w:p>
    <w:p w14:paraId="7A53098B" w14:textId="77777777" w:rsidR="00705A1C" w:rsidRPr="00705A1C" w:rsidRDefault="00705A1C" w:rsidP="008C7871">
      <w:pPr>
        <w:pStyle w:val="Heading4"/>
        <w:rPr>
          <w:lang w:val="en-GB"/>
        </w:rPr>
      </w:pPr>
      <w:r w:rsidRPr="00705A1C">
        <w:rPr>
          <w:lang w:val="en-GB"/>
        </w:rPr>
        <w:t>Provision of telecommunications services</w:t>
      </w:r>
    </w:p>
    <w:p w14:paraId="5EA20637" w14:textId="77777777" w:rsidR="00705A1C" w:rsidRPr="00705A1C" w:rsidRDefault="00705A1C" w:rsidP="00A87DAB">
      <w:pPr>
        <w:pStyle w:val="Bullet3ptafter"/>
        <w:rPr>
          <w:lang w:val="en-GB"/>
        </w:rPr>
      </w:pPr>
      <w:r w:rsidRPr="00705A1C">
        <w:rPr>
          <w:lang w:val="en-GB"/>
        </w:rPr>
        <w:t>Provision of retail telecommunications services by a network operator (as defined in section 3 of the Telecommunications (Interception Capability and Security) Act 2013) to at least 10,000 customers or provision of wholesale network services (also defined in section 3 of the Act) by a network operator maintaining at least 10,000 wholesale connections.</w:t>
      </w:r>
    </w:p>
    <w:p w14:paraId="08D55B67" w14:textId="77777777" w:rsidR="00705A1C" w:rsidRPr="00705A1C" w:rsidRDefault="00705A1C" w:rsidP="00A87DAB">
      <w:pPr>
        <w:pStyle w:val="Bullet3ptafter"/>
        <w:rPr>
          <w:lang w:val="en-GB"/>
        </w:rPr>
      </w:pPr>
      <w:r w:rsidRPr="00705A1C">
        <w:rPr>
          <w:lang w:val="en-GB"/>
        </w:rPr>
        <w:t>Connection of domestic and international submarine cables (as defined in section 2 of the Submarine Cables and Pipelines Protection Act 1996) to land</w:t>
      </w:r>
      <w:r w:rsidRPr="00705A1C">
        <w:rPr>
          <w:lang w:val="en-GB"/>
        </w:rPr>
        <w:noBreakHyphen/>
        <w:t>based telecommunications networks.</w:t>
      </w:r>
    </w:p>
    <w:p w14:paraId="7C2035B6" w14:textId="77777777" w:rsidR="00705A1C" w:rsidRPr="00705A1C" w:rsidRDefault="00705A1C" w:rsidP="00BD20A2">
      <w:pPr>
        <w:pStyle w:val="Bullets0"/>
        <w:rPr>
          <w:lang w:val="en-GB"/>
        </w:rPr>
      </w:pPr>
      <w:r w:rsidRPr="00705A1C">
        <w:rPr>
          <w:lang w:val="en-GB"/>
        </w:rPr>
        <w:t>Submarine cables in New Zealand waters (as defined in section 2 of the Submarine Cables and Pipelines Protection Act 1996) for the purposes of telecommunications connectivity and the connection of such cables to land</w:t>
      </w:r>
      <w:r w:rsidRPr="00705A1C">
        <w:rPr>
          <w:lang w:val="en-GB"/>
        </w:rPr>
        <w:noBreakHyphen/>
        <w:t>based telecommunications networks.</w:t>
      </w:r>
    </w:p>
    <w:p w14:paraId="7AB98944" w14:textId="77777777" w:rsidR="00705A1C" w:rsidRPr="00705A1C" w:rsidRDefault="00705A1C" w:rsidP="008C7871">
      <w:pPr>
        <w:pStyle w:val="Heading4"/>
        <w:rPr>
          <w:lang w:val="en-GB"/>
        </w:rPr>
      </w:pPr>
      <w:r w:rsidRPr="00705A1C">
        <w:rPr>
          <w:lang w:val="en-GB"/>
        </w:rPr>
        <w:t xml:space="preserve">Operation of domain name system (DNS) service </w:t>
      </w:r>
    </w:p>
    <w:p w14:paraId="3AD3E32D" w14:textId="77777777" w:rsidR="00705A1C" w:rsidRPr="00705A1C" w:rsidRDefault="00705A1C" w:rsidP="00BD20A2">
      <w:pPr>
        <w:pStyle w:val="Bullets0"/>
        <w:rPr>
          <w:lang w:val="en-GB"/>
        </w:rPr>
      </w:pPr>
      <w:r w:rsidRPr="00705A1C">
        <w:rPr>
          <w:lang w:val="en-GB"/>
        </w:rPr>
        <w:t>Management of New Zealand’s country code top</w:t>
      </w:r>
      <w:r w:rsidRPr="00705A1C">
        <w:rPr>
          <w:lang w:val="en-GB"/>
        </w:rPr>
        <w:noBreakHyphen/>
        <w:t>level domain.</w:t>
      </w:r>
    </w:p>
    <w:p w14:paraId="12A166DE" w14:textId="77777777" w:rsidR="00E80448" w:rsidRDefault="00E80448">
      <w:pPr>
        <w:suppressAutoHyphens w:val="0"/>
        <w:autoSpaceDE/>
        <w:autoSpaceDN/>
        <w:adjustRightInd/>
        <w:spacing w:after="160" w:line="259" w:lineRule="auto"/>
        <w:textAlignment w:val="auto"/>
        <w:rPr>
          <w:lang w:val="en-GB"/>
        </w:rPr>
      </w:pPr>
      <w:r>
        <w:rPr>
          <w:lang w:val="en-GB"/>
        </w:rPr>
        <w:br w:type="page"/>
      </w:r>
    </w:p>
    <w:p w14:paraId="6DBEF75B" w14:textId="62E8A8D2" w:rsidR="00705A1C" w:rsidRPr="00705A1C" w:rsidRDefault="00705A1C" w:rsidP="008C7871">
      <w:pPr>
        <w:pStyle w:val="Heading4"/>
        <w:rPr>
          <w:lang w:val="en-GB"/>
        </w:rPr>
      </w:pPr>
      <w:r w:rsidRPr="00705A1C">
        <w:rPr>
          <w:lang w:val="en-GB"/>
        </w:rPr>
        <w:lastRenderedPageBreak/>
        <w:t>Provision of data storage or processing services</w:t>
      </w:r>
    </w:p>
    <w:p w14:paraId="52245F3C" w14:textId="0ED93448" w:rsidR="00705A1C" w:rsidRPr="00705A1C" w:rsidRDefault="00705A1C" w:rsidP="00BD20A2">
      <w:pPr>
        <w:pStyle w:val="Bullets0"/>
        <w:rPr>
          <w:lang w:val="en-GB"/>
        </w:rPr>
      </w:pPr>
      <w:r w:rsidRPr="00705A1C">
        <w:rPr>
          <w:lang w:val="en-GB"/>
        </w:rPr>
        <w:t>A data centre facility or data services provider that stores or processes data</w:t>
      </w:r>
      <w:r w:rsidR="00BD20A2">
        <w:rPr>
          <w:lang w:val="en-GB"/>
        </w:rPr>
        <w:t> </w:t>
      </w:r>
      <w:r w:rsidRPr="00705A1C">
        <w:rPr>
          <w:lang w:val="en-GB"/>
        </w:rPr>
        <w:t>that is integral to the delivery of essential services by a critical infrastructure entity.</w:t>
      </w:r>
    </w:p>
    <w:p w14:paraId="58666054" w14:textId="77777777" w:rsidR="00705A1C" w:rsidRPr="00705A1C" w:rsidRDefault="00705A1C" w:rsidP="008C7871">
      <w:pPr>
        <w:pStyle w:val="Heading4"/>
        <w:rPr>
          <w:lang w:val="en-GB"/>
        </w:rPr>
      </w:pPr>
      <w:r w:rsidRPr="00705A1C">
        <w:rPr>
          <w:lang w:val="en-GB"/>
        </w:rPr>
        <w:t>Provision of managed services</w:t>
      </w:r>
    </w:p>
    <w:p w14:paraId="6A8A670E" w14:textId="77777777" w:rsidR="00705A1C" w:rsidRPr="00705A1C" w:rsidRDefault="00705A1C" w:rsidP="00BD20A2">
      <w:pPr>
        <w:pStyle w:val="Bullets0"/>
        <w:rPr>
          <w:lang w:val="en-GB"/>
        </w:rPr>
      </w:pPr>
      <w:r w:rsidRPr="00705A1C">
        <w:rPr>
          <w:lang w:val="en-GB"/>
        </w:rPr>
        <w:t xml:space="preserve">Management of IT infrastructure, devices, systems, networks or applications where the IT is integral to the delivery of essential services by a specified number of critical infrastructure entities. </w:t>
      </w:r>
    </w:p>
    <w:p w14:paraId="5AA07D8B" w14:textId="77777777" w:rsidR="00705A1C" w:rsidRPr="00705A1C" w:rsidRDefault="00705A1C" w:rsidP="00BD20A2">
      <w:pPr>
        <w:pStyle w:val="Heading4"/>
        <w:rPr>
          <w:lang w:val="en-GB"/>
        </w:rPr>
      </w:pPr>
      <w:r w:rsidRPr="00705A1C">
        <w:rPr>
          <w:lang w:val="en-GB"/>
        </w:rPr>
        <w:t>Provision of cloud computing services</w:t>
      </w:r>
    </w:p>
    <w:p w14:paraId="59FD2831" w14:textId="77777777" w:rsidR="00705A1C" w:rsidRPr="00705A1C" w:rsidRDefault="00705A1C" w:rsidP="00BD20A2">
      <w:pPr>
        <w:pStyle w:val="Bullets0"/>
        <w:rPr>
          <w:lang w:val="en-GB"/>
        </w:rPr>
      </w:pPr>
      <w:r w:rsidRPr="00705A1C">
        <w:rPr>
          <w:lang w:val="en-GB"/>
        </w:rPr>
        <w:t>Provision of on</w:t>
      </w:r>
      <w:r w:rsidRPr="00705A1C">
        <w:rPr>
          <w:lang w:val="en-GB"/>
        </w:rPr>
        <w:noBreakHyphen/>
        <w:t>demand computing services that are integral to the delivery of essential services by a specified number of critical infrastructure entities.</w:t>
      </w:r>
    </w:p>
    <w:p w14:paraId="5FFBD2D0" w14:textId="77777777" w:rsidR="00705A1C" w:rsidRPr="00705A1C" w:rsidRDefault="00705A1C" w:rsidP="00BD20A2">
      <w:pPr>
        <w:pStyle w:val="Heading4"/>
        <w:rPr>
          <w:lang w:val="en-GB"/>
        </w:rPr>
      </w:pPr>
      <w:r w:rsidRPr="00705A1C">
        <w:rPr>
          <w:lang w:val="en-GB"/>
        </w:rPr>
        <w:t xml:space="preserve">Provision of emergency broadcasting services </w:t>
      </w:r>
    </w:p>
    <w:p w14:paraId="5AD36ECC" w14:textId="77777777" w:rsidR="00705A1C" w:rsidRPr="00705A1C" w:rsidRDefault="00705A1C" w:rsidP="00BD20A2">
      <w:pPr>
        <w:pStyle w:val="Bullets0"/>
        <w:rPr>
          <w:lang w:val="en-GB"/>
        </w:rPr>
      </w:pPr>
      <w:r w:rsidRPr="00705A1C">
        <w:rPr>
          <w:lang w:val="en-GB"/>
        </w:rPr>
        <w:t>Provision of Radio New Zealand and Television New Zealand broadcasting (as defined in section 2 of the Broadcasting Act 1989) in an emergency (as defined in section 4 of the Civil Defence Emergency Management Act 2002).</w:t>
      </w:r>
    </w:p>
    <w:p w14:paraId="7C4E5DE6" w14:textId="77777777" w:rsidR="00705A1C" w:rsidRPr="00705A1C" w:rsidRDefault="00705A1C" w:rsidP="00BD20A2">
      <w:pPr>
        <w:pStyle w:val="Heading4"/>
        <w:rPr>
          <w:lang w:val="en-GB"/>
        </w:rPr>
      </w:pPr>
      <w:r w:rsidRPr="00705A1C">
        <w:rPr>
          <w:lang w:val="en-GB"/>
        </w:rPr>
        <w:t>Provision of positioning, navigation and timing (PNT) services</w:t>
      </w:r>
    </w:p>
    <w:p w14:paraId="65753FEE" w14:textId="77777777" w:rsidR="00705A1C" w:rsidRPr="00705A1C" w:rsidRDefault="00705A1C" w:rsidP="00BD20A2">
      <w:pPr>
        <w:pStyle w:val="Bullets0"/>
        <w:rPr>
          <w:lang w:val="en-GB"/>
        </w:rPr>
      </w:pPr>
      <w:r w:rsidRPr="00705A1C">
        <w:rPr>
          <w:lang w:val="en-GB"/>
        </w:rPr>
        <w:t>Ground</w:t>
      </w:r>
      <w:r w:rsidRPr="00705A1C">
        <w:rPr>
          <w:lang w:val="en-GB"/>
        </w:rPr>
        <w:noBreakHyphen/>
        <w:t>based PNT infrastructure, where PNT services are integral to the delivery of essential services by a critical infrastructure entity.</w:t>
      </w:r>
    </w:p>
    <w:p w14:paraId="5E228592" w14:textId="77777777" w:rsidR="00705A1C" w:rsidRPr="00705A1C" w:rsidRDefault="00705A1C" w:rsidP="00BD20A2">
      <w:pPr>
        <w:pStyle w:val="Heading2"/>
      </w:pPr>
      <w:bookmarkStart w:id="32" w:name="_Hlk196741278"/>
      <w:r w:rsidRPr="00705A1C">
        <w:t>Defence</w:t>
      </w:r>
    </w:p>
    <w:p w14:paraId="6D6B1265" w14:textId="77777777" w:rsidR="00705A1C" w:rsidRPr="00705A1C" w:rsidRDefault="00705A1C" w:rsidP="00BD20A2">
      <w:pPr>
        <w:pStyle w:val="Heading4"/>
        <w:rPr>
          <w:lang w:val="en-GB"/>
        </w:rPr>
      </w:pPr>
      <w:bookmarkStart w:id="33" w:name="_Hlk210313583"/>
      <w:r w:rsidRPr="00705A1C">
        <w:rPr>
          <w:lang w:val="en-GB"/>
        </w:rPr>
        <w:t>Delivery of Defence outputs</w:t>
      </w:r>
    </w:p>
    <w:p w14:paraId="3FAD9D29" w14:textId="77777777" w:rsidR="00705A1C" w:rsidRPr="00705A1C" w:rsidRDefault="00705A1C" w:rsidP="00BD20A2">
      <w:pPr>
        <w:pStyle w:val="Bullets0"/>
        <w:rPr>
          <w:lang w:val="en-GB"/>
        </w:rPr>
      </w:pPr>
      <w:r w:rsidRPr="00705A1C">
        <w:rPr>
          <w:lang w:val="en-GB"/>
        </w:rPr>
        <w:t>Infrastructure that the New Zealand Defence Force (NZDF) has defined as time</w:t>
      </w:r>
      <w:r w:rsidRPr="00705A1C">
        <w:rPr>
          <w:lang w:val="en-GB"/>
        </w:rPr>
        <w:noBreakHyphen/>
        <w:t>critical to the delivery of Defence outputs (as defined in the most recent NZDF Output Plan).</w:t>
      </w:r>
    </w:p>
    <w:bookmarkEnd w:id="32"/>
    <w:bookmarkEnd w:id="33"/>
    <w:p w14:paraId="0272FA1A" w14:textId="77777777" w:rsidR="00705A1C" w:rsidRPr="00705A1C" w:rsidRDefault="00705A1C" w:rsidP="003B562A">
      <w:pPr>
        <w:pStyle w:val="Heading2"/>
      </w:pPr>
      <w:r w:rsidRPr="00705A1C">
        <w:t>Energy</w:t>
      </w:r>
    </w:p>
    <w:p w14:paraId="0FF16082" w14:textId="77777777" w:rsidR="00705A1C" w:rsidRPr="00705A1C" w:rsidRDefault="00705A1C" w:rsidP="003B562A">
      <w:pPr>
        <w:pStyle w:val="Heading4"/>
        <w:rPr>
          <w:lang w:val="en-GB"/>
        </w:rPr>
      </w:pPr>
      <w:r w:rsidRPr="00705A1C">
        <w:rPr>
          <w:lang w:val="en-GB"/>
        </w:rPr>
        <w:t>Production, processing, transmission, distribution and storage of petroleum products</w:t>
      </w:r>
    </w:p>
    <w:p w14:paraId="3A102363" w14:textId="77777777" w:rsidR="00705A1C" w:rsidRPr="00705A1C" w:rsidRDefault="00705A1C" w:rsidP="00A87DAB">
      <w:pPr>
        <w:pStyle w:val="Bullet3ptafter"/>
        <w:rPr>
          <w:lang w:val="en-GB"/>
        </w:rPr>
      </w:pPr>
      <w:r w:rsidRPr="00705A1C">
        <w:rPr>
          <w:lang w:val="en-GB"/>
        </w:rPr>
        <w:t>Operation of bulk storage facilities (as defined in section 4 of the Fuel Industry Act 2020) with aggregate storage capacity of more than 50 million litres.</w:t>
      </w:r>
    </w:p>
    <w:p w14:paraId="182A5460" w14:textId="77777777" w:rsidR="00705A1C" w:rsidRPr="00705A1C" w:rsidRDefault="00705A1C" w:rsidP="00A87DAB">
      <w:pPr>
        <w:pStyle w:val="Bullets0"/>
        <w:rPr>
          <w:lang w:val="en-GB"/>
        </w:rPr>
      </w:pPr>
      <w:r w:rsidRPr="00705A1C">
        <w:rPr>
          <w:lang w:val="en-GB"/>
        </w:rPr>
        <w:lastRenderedPageBreak/>
        <w:t>Transmission of petroleum through pipelines (as defined in section 2 of the Health and Safety in Employment (Pipelines) Regulations 1999).</w:t>
      </w:r>
    </w:p>
    <w:p w14:paraId="2AF39E53" w14:textId="77777777" w:rsidR="00705A1C" w:rsidRPr="00705A1C" w:rsidRDefault="00705A1C" w:rsidP="003B562A">
      <w:pPr>
        <w:pStyle w:val="Heading4"/>
        <w:rPr>
          <w:lang w:val="en-GB"/>
        </w:rPr>
      </w:pPr>
      <w:r w:rsidRPr="00705A1C">
        <w:rPr>
          <w:lang w:val="en-GB"/>
        </w:rPr>
        <w:t>Generation, transmission and distribution of electricity</w:t>
      </w:r>
    </w:p>
    <w:p w14:paraId="5F0D9983" w14:textId="77777777" w:rsidR="00705A1C" w:rsidRPr="00705A1C" w:rsidRDefault="00705A1C" w:rsidP="009C2652">
      <w:pPr>
        <w:pStyle w:val="Bullet3ptafter"/>
        <w:rPr>
          <w:lang w:val="en-GB"/>
        </w:rPr>
      </w:pPr>
      <w:r w:rsidRPr="00705A1C">
        <w:rPr>
          <w:lang w:val="en-GB"/>
        </w:rPr>
        <w:t>Electricity generators (including stations, batteries and other storage) with generation capacity greater than or equal to 30 megawatts and connected to a wholesale electricity market.</w:t>
      </w:r>
    </w:p>
    <w:p w14:paraId="27C71BBF" w14:textId="77777777" w:rsidR="00705A1C" w:rsidRPr="00705A1C" w:rsidRDefault="00705A1C" w:rsidP="009C2652">
      <w:pPr>
        <w:pStyle w:val="Bullet3ptafter"/>
        <w:rPr>
          <w:lang w:val="en-GB"/>
        </w:rPr>
      </w:pPr>
      <w:r w:rsidRPr="00705A1C">
        <w:rPr>
          <w:lang w:val="en-GB"/>
        </w:rPr>
        <w:t>Operation of the national grid (as defined in section 5 of the Electricity Industry Act 2010).</w:t>
      </w:r>
    </w:p>
    <w:p w14:paraId="1C802A1B" w14:textId="19A13374" w:rsidR="00705A1C" w:rsidRPr="00705A1C" w:rsidRDefault="00705A1C" w:rsidP="009C2652">
      <w:pPr>
        <w:pStyle w:val="Bullet3ptafter"/>
        <w:rPr>
          <w:lang w:val="en-GB"/>
        </w:rPr>
      </w:pPr>
      <w:r w:rsidRPr="00705A1C">
        <w:rPr>
          <w:lang w:val="en-GB"/>
        </w:rPr>
        <w:t>Coordination of electricity supply and demand by the system operator (as</w:t>
      </w:r>
      <w:r w:rsidR="00A87DAB">
        <w:rPr>
          <w:lang w:val="en-GB"/>
        </w:rPr>
        <w:t> </w:t>
      </w:r>
      <w:r w:rsidRPr="00705A1C">
        <w:rPr>
          <w:lang w:val="en-GB"/>
        </w:rPr>
        <w:t>defined in section 5 of the Electricity Industry Act 2010).</w:t>
      </w:r>
    </w:p>
    <w:p w14:paraId="7BDC1EBA" w14:textId="77777777" w:rsidR="00705A1C" w:rsidRPr="00705A1C" w:rsidRDefault="00705A1C" w:rsidP="009C2652">
      <w:pPr>
        <w:pStyle w:val="Bullet3ptafter"/>
        <w:rPr>
          <w:lang w:val="en-GB"/>
        </w:rPr>
      </w:pPr>
      <w:r w:rsidRPr="00705A1C">
        <w:rPr>
          <w:lang w:val="en-GB"/>
        </w:rPr>
        <w:t>Operation of New Zealand’s wholesale trading and information system for spot market electricity.</w:t>
      </w:r>
    </w:p>
    <w:p w14:paraId="4693CC5E" w14:textId="77777777" w:rsidR="00705A1C" w:rsidRPr="00705A1C" w:rsidRDefault="00705A1C" w:rsidP="00A87DAB">
      <w:pPr>
        <w:pStyle w:val="Bullets0"/>
        <w:rPr>
          <w:lang w:val="en-GB"/>
        </w:rPr>
      </w:pPr>
      <w:r w:rsidRPr="00705A1C">
        <w:rPr>
          <w:lang w:val="en-GB"/>
        </w:rPr>
        <w:t>Electricity distribution services (as defined in section 54C of the Commerce Act 1986) with greater than 25,000 installation control points (ICPs).</w:t>
      </w:r>
    </w:p>
    <w:p w14:paraId="2F14034C" w14:textId="77777777" w:rsidR="00705A1C" w:rsidRPr="00705A1C" w:rsidRDefault="00705A1C" w:rsidP="00A87DAB">
      <w:pPr>
        <w:pStyle w:val="Heading4"/>
        <w:rPr>
          <w:lang w:val="en-GB"/>
        </w:rPr>
      </w:pPr>
      <w:r w:rsidRPr="00705A1C">
        <w:rPr>
          <w:lang w:val="en-GB"/>
        </w:rPr>
        <w:t>Production, transmission, distribution and storage of gas</w:t>
      </w:r>
    </w:p>
    <w:p w14:paraId="2DCF4996" w14:textId="77777777" w:rsidR="00705A1C" w:rsidRPr="00705A1C" w:rsidRDefault="00705A1C" w:rsidP="009C2652">
      <w:pPr>
        <w:pStyle w:val="Bullet3ptafter"/>
        <w:rPr>
          <w:lang w:val="en-GB"/>
        </w:rPr>
      </w:pPr>
      <w:r w:rsidRPr="00705A1C">
        <w:rPr>
          <w:lang w:val="en-GB"/>
        </w:rPr>
        <w:t>Natural gas producer (as defined in section 2 of the Gas Act 1992).</w:t>
      </w:r>
    </w:p>
    <w:p w14:paraId="0446C435" w14:textId="77777777" w:rsidR="00705A1C" w:rsidRPr="00705A1C" w:rsidRDefault="00705A1C" w:rsidP="00A87DAB">
      <w:pPr>
        <w:pStyle w:val="Bullets0"/>
        <w:rPr>
          <w:lang w:val="en-GB"/>
        </w:rPr>
      </w:pPr>
      <w:r w:rsidRPr="00705A1C">
        <w:rPr>
          <w:lang w:val="en-GB"/>
        </w:rPr>
        <w:t>Natural gas pipeline services (as defined in section 55A of the Commerce Act 1986) that convey gas at a volume greater than 500,000 gigajoules per annum.</w:t>
      </w:r>
    </w:p>
    <w:p w14:paraId="29E1C806" w14:textId="77777777" w:rsidR="00705A1C" w:rsidRPr="00705A1C" w:rsidRDefault="00705A1C" w:rsidP="003B562A">
      <w:pPr>
        <w:pStyle w:val="Heading2"/>
      </w:pPr>
      <w:r w:rsidRPr="00705A1C">
        <w:t>Finance</w:t>
      </w:r>
    </w:p>
    <w:p w14:paraId="55C34C72" w14:textId="77777777" w:rsidR="00705A1C" w:rsidRPr="00705A1C" w:rsidRDefault="00705A1C" w:rsidP="00A87DAB">
      <w:pPr>
        <w:pStyle w:val="Heading4"/>
        <w:rPr>
          <w:lang w:val="en-GB"/>
        </w:rPr>
      </w:pPr>
      <w:bookmarkStart w:id="34" w:name="_Hlk216187403"/>
      <w:r w:rsidRPr="00705A1C">
        <w:rPr>
          <w:lang w:val="en-GB"/>
        </w:rPr>
        <w:t>Taking deposits and processing domestic payments</w:t>
      </w:r>
    </w:p>
    <w:p w14:paraId="40588915" w14:textId="77777777" w:rsidR="00705A1C" w:rsidRPr="00705A1C" w:rsidRDefault="00705A1C" w:rsidP="00A87DAB">
      <w:pPr>
        <w:pStyle w:val="Bullets0"/>
        <w:rPr>
          <w:lang w:val="en-GB"/>
        </w:rPr>
      </w:pPr>
      <w:r w:rsidRPr="00705A1C">
        <w:rPr>
          <w:lang w:val="en-GB"/>
        </w:rPr>
        <w:t>Registered banks (as defined in section 2(1) of the Banking (Prudential Supervision) Act 1989) that have been identified as domestic systemically important banks by the Reserve Bank of New Zealand.</w:t>
      </w:r>
    </w:p>
    <w:p w14:paraId="1F8FB20A" w14:textId="77777777" w:rsidR="00705A1C" w:rsidRPr="00705A1C" w:rsidRDefault="00705A1C" w:rsidP="00A87DAB">
      <w:pPr>
        <w:pStyle w:val="Heading4"/>
        <w:rPr>
          <w:lang w:val="en-GB"/>
        </w:rPr>
      </w:pPr>
      <w:r w:rsidRPr="00705A1C">
        <w:rPr>
          <w:lang w:val="en-GB"/>
        </w:rPr>
        <w:t>Operation of financial market infrastructures</w:t>
      </w:r>
    </w:p>
    <w:p w14:paraId="66ADE114" w14:textId="77777777" w:rsidR="00705A1C" w:rsidRPr="00705A1C" w:rsidRDefault="00705A1C" w:rsidP="009C2652">
      <w:pPr>
        <w:pStyle w:val="Bullet3ptafter"/>
        <w:rPr>
          <w:lang w:val="en-GB"/>
        </w:rPr>
      </w:pPr>
      <w:r w:rsidRPr="00705A1C">
        <w:rPr>
          <w:lang w:val="en-GB"/>
        </w:rPr>
        <w:t>Domestic financial market infrastructure designated as systemically important under section 20 of the Financial Market Infrastructures Act 2021.</w:t>
      </w:r>
    </w:p>
    <w:p w14:paraId="37A0A5FE" w14:textId="77777777" w:rsidR="00705A1C" w:rsidRPr="00705A1C" w:rsidRDefault="00705A1C" w:rsidP="009C2652">
      <w:pPr>
        <w:pStyle w:val="Bullet3ptafter"/>
        <w:rPr>
          <w:lang w:val="en-GB"/>
        </w:rPr>
      </w:pPr>
      <w:r w:rsidRPr="00705A1C">
        <w:rPr>
          <w:lang w:val="en-GB"/>
        </w:rPr>
        <w:t>Operation of securities markets</w:t>
      </w:r>
    </w:p>
    <w:p w14:paraId="290CC011" w14:textId="77777777" w:rsidR="00705A1C" w:rsidRPr="00705A1C" w:rsidRDefault="00705A1C" w:rsidP="00A87DAB">
      <w:pPr>
        <w:pStyle w:val="Bullets0"/>
        <w:rPr>
          <w:lang w:val="en-GB"/>
        </w:rPr>
      </w:pPr>
      <w:r w:rsidRPr="00705A1C">
        <w:rPr>
          <w:lang w:val="en-GB"/>
        </w:rPr>
        <w:t>The NZX, as the primary domestic licensed market operator (as defined under section 6 of the Financial Markets Conduct Act 2013).</w:t>
      </w:r>
    </w:p>
    <w:bookmarkEnd w:id="34"/>
    <w:p w14:paraId="693107E4" w14:textId="77777777" w:rsidR="00705A1C" w:rsidRPr="00705A1C" w:rsidRDefault="00705A1C" w:rsidP="003B562A">
      <w:pPr>
        <w:pStyle w:val="Heading2"/>
      </w:pPr>
      <w:r w:rsidRPr="00705A1C">
        <w:lastRenderedPageBreak/>
        <w:t>Health</w:t>
      </w:r>
    </w:p>
    <w:p w14:paraId="1908AD1E" w14:textId="77777777" w:rsidR="00705A1C" w:rsidRPr="00705A1C" w:rsidRDefault="00705A1C" w:rsidP="00A87DAB">
      <w:pPr>
        <w:pStyle w:val="Heading4"/>
        <w:rPr>
          <w:lang w:val="en-GB"/>
        </w:rPr>
      </w:pPr>
      <w:r w:rsidRPr="00705A1C">
        <w:rPr>
          <w:lang w:val="en-GB"/>
        </w:rPr>
        <w:t xml:space="preserve">Provision of human health services </w:t>
      </w:r>
    </w:p>
    <w:p w14:paraId="7CE611F7" w14:textId="77777777" w:rsidR="00705A1C" w:rsidRPr="00705A1C" w:rsidRDefault="00705A1C" w:rsidP="00A87DAB">
      <w:pPr>
        <w:pStyle w:val="Bullets0"/>
        <w:rPr>
          <w:lang w:val="en-GB"/>
        </w:rPr>
      </w:pPr>
      <w:r w:rsidRPr="00705A1C">
        <w:rPr>
          <w:lang w:val="en-GB"/>
        </w:rPr>
        <w:t>Operation of a hospital care institution (as defined in section 58(4) of the Health and Disability Services (Safety) Act 2001) with an intensive care unit.</w:t>
      </w:r>
    </w:p>
    <w:p w14:paraId="214C282B" w14:textId="77777777" w:rsidR="00705A1C" w:rsidRPr="00705A1C" w:rsidRDefault="00705A1C" w:rsidP="003B562A">
      <w:pPr>
        <w:pStyle w:val="Heading2"/>
      </w:pPr>
      <w:r w:rsidRPr="00705A1C">
        <w:t>Transport</w:t>
      </w:r>
    </w:p>
    <w:p w14:paraId="01ADC1C8" w14:textId="77777777" w:rsidR="00705A1C" w:rsidRPr="00705A1C" w:rsidRDefault="00705A1C" w:rsidP="003B562A">
      <w:pPr>
        <w:pStyle w:val="Heading4"/>
        <w:rPr>
          <w:lang w:val="en-GB"/>
        </w:rPr>
      </w:pPr>
      <w:r w:rsidRPr="00705A1C">
        <w:rPr>
          <w:lang w:val="en-GB"/>
        </w:rPr>
        <w:t xml:space="preserve">Roading </w:t>
      </w:r>
    </w:p>
    <w:p w14:paraId="01EFC610" w14:textId="77777777" w:rsidR="00705A1C" w:rsidRPr="00705A1C" w:rsidRDefault="00705A1C" w:rsidP="009C2652">
      <w:pPr>
        <w:pStyle w:val="Bullet3ptafter"/>
        <w:rPr>
          <w:lang w:val="en-GB"/>
        </w:rPr>
      </w:pPr>
      <w:r w:rsidRPr="00705A1C">
        <w:rPr>
          <w:lang w:val="en-GB"/>
        </w:rPr>
        <w:t>National and high</w:t>
      </w:r>
      <w:r w:rsidRPr="00705A1C">
        <w:rPr>
          <w:lang w:val="en-GB"/>
        </w:rPr>
        <w:noBreakHyphen/>
        <w:t xml:space="preserve">volume roads as classified under the One Network Road Classification. </w:t>
      </w:r>
    </w:p>
    <w:p w14:paraId="668E1453" w14:textId="77777777" w:rsidR="00705A1C" w:rsidRPr="00705A1C" w:rsidRDefault="00705A1C" w:rsidP="00A87DAB">
      <w:pPr>
        <w:pStyle w:val="Bullets0"/>
        <w:rPr>
          <w:lang w:val="en-GB"/>
        </w:rPr>
      </w:pPr>
      <w:r w:rsidRPr="00705A1C">
        <w:rPr>
          <w:lang w:val="en-GB"/>
        </w:rPr>
        <w:t>M1 and M2 roads as classified under the One Network Framework.</w:t>
      </w:r>
    </w:p>
    <w:p w14:paraId="73AEB40C" w14:textId="77777777" w:rsidR="00705A1C" w:rsidRPr="00705A1C" w:rsidRDefault="00705A1C" w:rsidP="003B562A">
      <w:pPr>
        <w:pStyle w:val="Heading4"/>
        <w:rPr>
          <w:lang w:val="en-GB"/>
        </w:rPr>
      </w:pPr>
      <w:r w:rsidRPr="00705A1C">
        <w:rPr>
          <w:lang w:val="en-GB"/>
        </w:rPr>
        <w:t>Rail</w:t>
      </w:r>
    </w:p>
    <w:p w14:paraId="103E2B3F" w14:textId="77777777" w:rsidR="00705A1C" w:rsidRPr="00705A1C" w:rsidRDefault="00705A1C" w:rsidP="00A87DAB">
      <w:pPr>
        <w:pStyle w:val="Bullets0"/>
        <w:rPr>
          <w:lang w:val="en-GB"/>
        </w:rPr>
      </w:pPr>
      <w:r w:rsidRPr="00705A1C">
        <w:rPr>
          <w:lang w:val="en-GB"/>
        </w:rPr>
        <w:t xml:space="preserve">Management, operation and maintenance of priority and secondary rail freight lines (as defined by KiwiRail) and rail corridors that carry </w:t>
      </w:r>
      <w:proofErr w:type="spellStart"/>
      <w:r w:rsidRPr="00705A1C">
        <w:rPr>
          <w:lang w:val="en-GB"/>
        </w:rPr>
        <w:t>MetroPort</w:t>
      </w:r>
      <w:proofErr w:type="spellEnd"/>
      <w:r w:rsidRPr="00705A1C">
        <w:rPr>
          <w:lang w:val="en-GB"/>
        </w:rPr>
        <w:t xml:space="preserve"> services.</w:t>
      </w:r>
    </w:p>
    <w:p w14:paraId="3C0DBF2B" w14:textId="77777777" w:rsidR="00705A1C" w:rsidRPr="00705A1C" w:rsidRDefault="00705A1C" w:rsidP="003B562A">
      <w:pPr>
        <w:pStyle w:val="Heading4"/>
        <w:rPr>
          <w:lang w:val="en-GB"/>
        </w:rPr>
      </w:pPr>
      <w:r w:rsidRPr="00705A1C">
        <w:rPr>
          <w:lang w:val="en-GB"/>
        </w:rPr>
        <w:t xml:space="preserve">Aviation </w:t>
      </w:r>
    </w:p>
    <w:p w14:paraId="766B9FB2" w14:textId="77777777" w:rsidR="00705A1C" w:rsidRPr="00705A1C" w:rsidRDefault="00705A1C" w:rsidP="009C2652">
      <w:pPr>
        <w:pStyle w:val="Bullet3ptafter"/>
        <w:rPr>
          <w:lang w:val="en-GB"/>
        </w:rPr>
      </w:pPr>
      <w:bookmarkStart w:id="35" w:name="_Hlk219885133"/>
      <w:r w:rsidRPr="00705A1C">
        <w:rPr>
          <w:lang w:val="en-GB"/>
        </w:rPr>
        <w:t>Management, operation and maintenance of specific airport companies and airport services (as defined in section 56A of the Commerce Act 1986).</w:t>
      </w:r>
    </w:p>
    <w:p w14:paraId="19DA7005" w14:textId="77777777" w:rsidR="00705A1C" w:rsidRPr="00705A1C" w:rsidRDefault="00705A1C" w:rsidP="00A87DAB">
      <w:pPr>
        <w:pStyle w:val="Bullets0"/>
        <w:rPr>
          <w:lang w:val="en-GB"/>
        </w:rPr>
      </w:pPr>
      <w:r w:rsidRPr="00705A1C">
        <w:rPr>
          <w:lang w:val="en-GB"/>
        </w:rPr>
        <w:t>Air traffic control services (as defined in section 5 of the Civil Aviation Act 2023) at the designated airports.</w:t>
      </w:r>
    </w:p>
    <w:p w14:paraId="6C082922" w14:textId="77777777" w:rsidR="00705A1C" w:rsidRPr="00705A1C" w:rsidRDefault="00705A1C" w:rsidP="003B562A">
      <w:pPr>
        <w:pStyle w:val="Heading4"/>
        <w:rPr>
          <w:lang w:val="en-GB"/>
        </w:rPr>
      </w:pPr>
      <w:r w:rsidRPr="00705A1C">
        <w:rPr>
          <w:lang w:val="en-GB"/>
        </w:rPr>
        <w:t xml:space="preserve">Maritime </w:t>
      </w:r>
    </w:p>
    <w:p w14:paraId="101EFBD5" w14:textId="77777777" w:rsidR="00705A1C" w:rsidRPr="00705A1C" w:rsidRDefault="00705A1C" w:rsidP="009C2652">
      <w:pPr>
        <w:pStyle w:val="Bullet3ptafter"/>
        <w:rPr>
          <w:lang w:val="en-GB"/>
        </w:rPr>
      </w:pPr>
      <w:r w:rsidRPr="00705A1C">
        <w:rPr>
          <w:lang w:val="en-GB"/>
        </w:rPr>
        <w:t xml:space="preserve">Management, operation and maintenance of a maritime port (as defined in section 2 of the Port Companies Act 1988) that handles more than 4 million tonnes of combined bulk and container import and export freight </w:t>
      </w:r>
      <w:bookmarkStart w:id="36" w:name="_Hlk219885398"/>
      <w:bookmarkEnd w:id="35"/>
      <w:r w:rsidRPr="00705A1C">
        <w:rPr>
          <w:lang w:val="en-GB"/>
        </w:rPr>
        <w:t>per annum, averaged over five years, excluding outlier years linked to global trade shocks.</w:t>
      </w:r>
    </w:p>
    <w:p w14:paraId="0FAFE53C" w14:textId="77777777" w:rsidR="00705A1C" w:rsidRPr="00705A1C" w:rsidRDefault="00705A1C" w:rsidP="009C2652">
      <w:pPr>
        <w:pStyle w:val="Bullet3ptafter"/>
        <w:rPr>
          <w:lang w:val="en-GB"/>
        </w:rPr>
      </w:pPr>
      <w:r w:rsidRPr="00705A1C">
        <w:rPr>
          <w:lang w:val="en-GB"/>
        </w:rPr>
        <w:t xml:space="preserve">Management, operation and maintenance of major inland ports, currently South Auckland Freight Hub and </w:t>
      </w:r>
      <w:proofErr w:type="spellStart"/>
      <w:r w:rsidRPr="00705A1C">
        <w:rPr>
          <w:lang w:val="en-GB"/>
        </w:rPr>
        <w:t>Ruakura</w:t>
      </w:r>
      <w:proofErr w:type="spellEnd"/>
      <w:r w:rsidRPr="00705A1C">
        <w:rPr>
          <w:lang w:val="en-GB"/>
        </w:rPr>
        <w:t xml:space="preserve"> Inland Port.</w:t>
      </w:r>
    </w:p>
    <w:p w14:paraId="69F9F3E1" w14:textId="77777777" w:rsidR="00705A1C" w:rsidRPr="00705A1C" w:rsidRDefault="00705A1C" w:rsidP="009C2652">
      <w:pPr>
        <w:pStyle w:val="Bullet3ptafter"/>
        <w:rPr>
          <w:lang w:val="en-GB"/>
        </w:rPr>
      </w:pPr>
      <w:r w:rsidRPr="00705A1C">
        <w:rPr>
          <w:lang w:val="en-GB"/>
        </w:rPr>
        <w:t>Management, operation and maintenance of ports that facilitate Cook Strait freight connectivity.</w:t>
      </w:r>
    </w:p>
    <w:p w14:paraId="350DEAB6" w14:textId="77777777" w:rsidR="00705A1C" w:rsidRPr="00705A1C" w:rsidRDefault="00705A1C" w:rsidP="009C2652">
      <w:pPr>
        <w:pStyle w:val="Bullet3ptafter"/>
        <w:rPr>
          <w:lang w:val="en-GB"/>
        </w:rPr>
      </w:pPr>
      <w:r w:rsidRPr="00705A1C">
        <w:rPr>
          <w:lang w:val="en-GB"/>
        </w:rPr>
        <w:t>Operation of interisland freight ferry services.</w:t>
      </w:r>
    </w:p>
    <w:bookmarkEnd w:id="36"/>
    <w:p w14:paraId="71F21823" w14:textId="68F31703" w:rsidR="00705A1C" w:rsidRPr="009C2652" w:rsidRDefault="00705A1C" w:rsidP="009C2652">
      <w:pPr>
        <w:pStyle w:val="Bullet3ptafter"/>
        <w:rPr>
          <w:spacing w:val="-2"/>
          <w:lang w:val="en-GB"/>
        </w:rPr>
      </w:pPr>
      <w:r w:rsidRPr="009C2652">
        <w:rPr>
          <w:spacing w:val="-2"/>
          <w:lang w:val="en-GB"/>
        </w:rPr>
        <w:t>Maintenance of New Zealand Distress and Safety Radio Service NAVAREA</w:t>
      </w:r>
      <w:r w:rsidR="009C2652" w:rsidRPr="009C2652">
        <w:rPr>
          <w:spacing w:val="-2"/>
          <w:lang w:val="en-GB"/>
        </w:rPr>
        <w:t> </w:t>
      </w:r>
      <w:r w:rsidRPr="009C2652">
        <w:rPr>
          <w:spacing w:val="-2"/>
          <w:lang w:val="en-GB"/>
        </w:rPr>
        <w:t>XIV.</w:t>
      </w:r>
    </w:p>
    <w:p w14:paraId="6F94F69D" w14:textId="77777777" w:rsidR="00705A1C" w:rsidRPr="00705A1C" w:rsidRDefault="00705A1C" w:rsidP="00A87DAB">
      <w:pPr>
        <w:pStyle w:val="Bullets0"/>
        <w:rPr>
          <w:lang w:val="en-GB"/>
        </w:rPr>
      </w:pPr>
      <w:r w:rsidRPr="00705A1C">
        <w:rPr>
          <w:lang w:val="en-GB"/>
        </w:rPr>
        <w:t>Maritime navigational aids provided for the operation of any port (as defined in section 200(2) of the Maritime Transport Act 1994) meeting the definition of critical infrastructure.</w:t>
      </w:r>
    </w:p>
    <w:p w14:paraId="40C5E7A3" w14:textId="77777777" w:rsidR="00705A1C" w:rsidRPr="00705A1C" w:rsidRDefault="00705A1C" w:rsidP="00A0552E">
      <w:pPr>
        <w:pStyle w:val="Heading2"/>
      </w:pPr>
      <w:r w:rsidRPr="00705A1C">
        <w:lastRenderedPageBreak/>
        <w:t>Drinking water and wastewater</w:t>
      </w:r>
    </w:p>
    <w:p w14:paraId="035422C6" w14:textId="77777777" w:rsidR="00705A1C" w:rsidRPr="009C2652" w:rsidRDefault="00705A1C" w:rsidP="003B562A">
      <w:pPr>
        <w:pStyle w:val="Heading4"/>
        <w:rPr>
          <w:rFonts w:ascii="Arial Bold" w:hAnsi="Arial Bold"/>
          <w:spacing w:val="-2"/>
          <w:lang w:val="en-GB"/>
        </w:rPr>
      </w:pPr>
      <w:bookmarkStart w:id="37" w:name="_Hlk222228806"/>
      <w:r w:rsidRPr="009C2652">
        <w:rPr>
          <w:rFonts w:ascii="Arial Bold" w:hAnsi="Arial Bold"/>
          <w:spacing w:val="-2"/>
          <w:lang w:val="en-GB"/>
        </w:rPr>
        <w:t>Provision of drinking water services (water treatment plants, reservoirs, distribution systems, pump stations and trunk water mains)</w:t>
      </w:r>
    </w:p>
    <w:bookmarkEnd w:id="37"/>
    <w:p w14:paraId="4DC6AF24" w14:textId="62865C4E" w:rsidR="00705A1C" w:rsidRPr="00705A1C" w:rsidRDefault="00705A1C" w:rsidP="00A87DAB">
      <w:pPr>
        <w:pStyle w:val="Bullets0"/>
        <w:rPr>
          <w:lang w:val="en-GB"/>
        </w:rPr>
      </w:pPr>
      <w:r w:rsidRPr="00705A1C">
        <w:rPr>
          <w:lang w:val="en-GB"/>
        </w:rPr>
        <w:t>Networks that supply drinking water to at least 25,000 connections, plus the drinking water schemes operated by Queenstown Lakes District Council (which</w:t>
      </w:r>
      <w:r w:rsidR="009C2652">
        <w:rPr>
          <w:lang w:val="en-GB"/>
        </w:rPr>
        <w:t> </w:t>
      </w:r>
      <w:r w:rsidRPr="00705A1C">
        <w:rPr>
          <w:lang w:val="en-GB"/>
        </w:rPr>
        <w:t>would be designated by the Minister).</w:t>
      </w:r>
    </w:p>
    <w:p w14:paraId="5A39CE2C" w14:textId="2E277233" w:rsidR="00705A1C" w:rsidRPr="00705A1C" w:rsidRDefault="00705A1C" w:rsidP="003B562A">
      <w:pPr>
        <w:pStyle w:val="Heading4"/>
        <w:rPr>
          <w:lang w:val="en-GB"/>
        </w:rPr>
      </w:pPr>
      <w:r w:rsidRPr="00705A1C">
        <w:rPr>
          <w:lang w:val="en-GB"/>
        </w:rPr>
        <w:t>Collection, treatment and disposal of wastewater (wastewater treatment plants, pump stations, trunk sewers, wastewater pipes and</w:t>
      </w:r>
      <w:r w:rsidR="009C2652">
        <w:rPr>
          <w:lang w:val="en-GB"/>
        </w:rPr>
        <w:t> </w:t>
      </w:r>
      <w:r w:rsidRPr="00705A1C">
        <w:rPr>
          <w:lang w:val="en-GB"/>
        </w:rPr>
        <w:t>pipe bridges)</w:t>
      </w:r>
    </w:p>
    <w:p w14:paraId="49F69A7D" w14:textId="47BE5D04" w:rsidR="00DD7BDC" w:rsidRDefault="00705A1C" w:rsidP="00A87DAB">
      <w:pPr>
        <w:pStyle w:val="Bullets0"/>
        <w:rPr>
          <w:lang w:val="en-GB"/>
        </w:rPr>
      </w:pPr>
      <w:r w:rsidRPr="00705A1C">
        <w:rPr>
          <w:lang w:val="en-GB"/>
        </w:rPr>
        <w:t>Networks that collect and treat wastewater to at least 25,000 connections, plus</w:t>
      </w:r>
      <w:r w:rsidR="009C2652">
        <w:rPr>
          <w:lang w:val="en-GB"/>
        </w:rPr>
        <w:t> </w:t>
      </w:r>
      <w:r w:rsidRPr="00705A1C">
        <w:rPr>
          <w:lang w:val="en-GB"/>
        </w:rPr>
        <w:t>the reticulated wastewater service operated by Queenstown Lakes District Council (which would be designated by the Minister).</w:t>
      </w:r>
    </w:p>
    <w:p w14:paraId="2D017F4E" w14:textId="77777777" w:rsidR="00DD7BDC" w:rsidRDefault="00DD7BDC">
      <w:pPr>
        <w:suppressAutoHyphens w:val="0"/>
        <w:autoSpaceDE/>
        <w:autoSpaceDN/>
        <w:adjustRightInd/>
        <w:spacing w:after="160" w:line="259" w:lineRule="auto"/>
        <w:textAlignment w:val="auto"/>
        <w:rPr>
          <w:rFonts w:eastAsia="Aptos"/>
          <w:color w:val="191919"/>
          <w:sz w:val="18"/>
          <w:szCs w:val="18"/>
          <w:lang w:val="en-GB"/>
        </w:rPr>
      </w:pPr>
      <w:r>
        <w:rPr>
          <w:rFonts w:eastAsia="Aptos"/>
          <w:color w:val="191919"/>
          <w:sz w:val="18"/>
          <w:szCs w:val="18"/>
          <w:lang w:val="en-GB"/>
        </w:rPr>
        <w:br w:type="page"/>
      </w:r>
    </w:p>
    <w:p w14:paraId="13F8FD93" w14:textId="6F51632D" w:rsidR="00A0552E" w:rsidRPr="00824F9D" w:rsidRDefault="00A0552E" w:rsidP="00824F9D">
      <w:pPr>
        <w:pStyle w:val="Heading1"/>
        <w:pageBreakBefore w:val="0"/>
      </w:pPr>
      <w:r w:rsidRPr="00824F9D">
        <w:rPr>
          <w:b w:val="0"/>
          <w:bCs/>
        </w:rPr>
        <w:lastRenderedPageBreak/>
        <w:t>Section 2:</w:t>
      </w:r>
      <w:r w:rsidRPr="00824F9D">
        <w:t xml:space="preserve"> </w:t>
      </w:r>
      <w:r w:rsidR="00824F9D">
        <w:br/>
      </w:r>
      <w:r w:rsidRPr="00824F9D">
        <w:t>Agreeing the depth of the cyber defences of critical infrastructure</w:t>
      </w:r>
    </w:p>
    <w:p w14:paraId="0C3BA727" w14:textId="580A1E55" w:rsidR="00705A1C" w:rsidRPr="00824F9D" w:rsidRDefault="00705A1C" w:rsidP="00824F9D">
      <w:pPr>
        <w:pStyle w:val="Heading2"/>
      </w:pPr>
      <w:r w:rsidRPr="00824F9D">
        <w:t>Improving information sharing and collection on threats and vulnerabilities</w:t>
      </w:r>
    </w:p>
    <w:p w14:paraId="67883FA2" w14:textId="77777777" w:rsidR="00705A1C" w:rsidRPr="00705A1C" w:rsidRDefault="00705A1C" w:rsidP="008C7871">
      <w:pPr>
        <w:pStyle w:val="Introduction"/>
      </w:pPr>
      <w:bookmarkStart w:id="38" w:name="_Hlk198886531"/>
      <w:r w:rsidRPr="00705A1C">
        <w:t>A shared understanding of the interdependencies across the critical infrastructure system and the cyber threats they face is key to reducing cyber risks and minimising the impact of incidents.</w:t>
      </w:r>
    </w:p>
    <w:p w14:paraId="70FE1A17" w14:textId="77777777" w:rsidR="00705A1C" w:rsidRPr="00705A1C" w:rsidRDefault="00705A1C" w:rsidP="00824F9D">
      <w:pPr>
        <w:rPr>
          <w:lang w:val="en-GB"/>
        </w:rPr>
      </w:pPr>
      <w:r w:rsidRPr="00705A1C">
        <w:rPr>
          <w:lang w:val="en-GB"/>
        </w:rPr>
        <w:t>A systemic view is necessary to understand the threat environment in which we operate, how disruptions may cascade across the economy and the type of support that critical infrastructure entities need to ensure the ongoing delivery of essential services. This is vital to tackle cyber threats that are constantly evolving, growing in sophistication and increasingly difficult to detect. The more information that is shared, the better prepared New Zealand’s critical infrastructure will be to defend against malicious cyber activity.</w:t>
      </w:r>
    </w:p>
    <w:p w14:paraId="5F3BE84D" w14:textId="142C75CE" w:rsidR="00705A1C" w:rsidRPr="00705A1C" w:rsidRDefault="00705A1C" w:rsidP="00824F9D">
      <w:pPr>
        <w:rPr>
          <w:lang w:val="en-GB"/>
        </w:rPr>
      </w:pPr>
      <w:r w:rsidRPr="00705A1C">
        <w:rPr>
          <w:lang w:val="en-GB"/>
        </w:rPr>
        <w:t>New Zealand does not have a centralised or consistent approach to sharing or</w:t>
      </w:r>
      <w:r w:rsidR="00230E6E">
        <w:rPr>
          <w:lang w:val="en-GB"/>
        </w:rPr>
        <w:t> </w:t>
      </w:r>
      <w:r w:rsidRPr="00705A1C">
        <w:rPr>
          <w:lang w:val="en-GB"/>
        </w:rPr>
        <w:t>reporting information related to the cyber security of critical infrastructure. While</w:t>
      </w:r>
      <w:r w:rsidR="00230E6E">
        <w:rPr>
          <w:lang w:val="en-GB"/>
        </w:rPr>
        <w:t> </w:t>
      </w:r>
      <w:r w:rsidRPr="00705A1C">
        <w:rPr>
          <w:lang w:val="en-GB"/>
        </w:rPr>
        <w:t>some voluntary information</w:t>
      </w:r>
      <w:r w:rsidRPr="00705A1C">
        <w:rPr>
          <w:lang w:val="en-GB"/>
        </w:rPr>
        <w:noBreakHyphen/>
        <w:t>sharing arrangements are in place, these have trade-offs:</w:t>
      </w:r>
    </w:p>
    <w:p w14:paraId="184BCD3C" w14:textId="77777777" w:rsidR="00705A1C" w:rsidRPr="00705A1C" w:rsidRDefault="00705A1C" w:rsidP="00824F9D">
      <w:pPr>
        <w:pStyle w:val="Bullets0"/>
        <w:rPr>
          <w:lang w:val="en-GB"/>
        </w:rPr>
      </w:pPr>
      <w:r w:rsidRPr="00705A1C">
        <w:rPr>
          <w:lang w:val="en-GB"/>
        </w:rPr>
        <w:t>Most existing forums are sector</w:t>
      </w:r>
      <w:r w:rsidRPr="00705A1C">
        <w:rPr>
          <w:lang w:val="en-GB"/>
        </w:rPr>
        <w:noBreakHyphen/>
        <w:t>specific and therefore do not foster cross</w:t>
      </w:r>
      <w:r w:rsidRPr="00705A1C">
        <w:rPr>
          <w:lang w:val="en-GB"/>
        </w:rPr>
        <w:noBreakHyphen/>
        <w:t>sector dialogue to address common cyber risks.</w:t>
      </w:r>
    </w:p>
    <w:p w14:paraId="2F0D228E" w14:textId="77777777" w:rsidR="00705A1C" w:rsidRPr="00705A1C" w:rsidRDefault="00705A1C" w:rsidP="00824F9D">
      <w:pPr>
        <w:pStyle w:val="Bullets0"/>
        <w:rPr>
          <w:lang w:val="en-GB"/>
        </w:rPr>
      </w:pPr>
      <w:r w:rsidRPr="00705A1C">
        <w:rPr>
          <w:lang w:val="en-GB"/>
        </w:rPr>
        <w:t>Entities have limited incentives to share sensitive information that reveals their vulnerabilities and exposure to cyber threats.</w:t>
      </w:r>
    </w:p>
    <w:p w14:paraId="57B80B62" w14:textId="77777777" w:rsidR="008C7871" w:rsidRDefault="008C7871">
      <w:pPr>
        <w:suppressAutoHyphens w:val="0"/>
        <w:autoSpaceDE/>
        <w:autoSpaceDN/>
        <w:adjustRightInd/>
        <w:spacing w:after="160" w:line="259" w:lineRule="auto"/>
        <w:textAlignment w:val="auto"/>
        <w:rPr>
          <w:rFonts w:eastAsiaTheme="minorEastAsia"/>
          <w:lang w:val="en-GB" w:eastAsia="ko-KR"/>
        </w:rPr>
      </w:pPr>
      <w:r>
        <w:rPr>
          <w:lang w:val="en-GB"/>
        </w:rPr>
        <w:br w:type="page"/>
      </w:r>
    </w:p>
    <w:p w14:paraId="25F37E6D" w14:textId="443C488C" w:rsidR="00705A1C" w:rsidRPr="00705A1C" w:rsidRDefault="00705A1C" w:rsidP="00824F9D">
      <w:pPr>
        <w:pStyle w:val="Bullets0"/>
        <w:rPr>
          <w:lang w:val="en-GB"/>
        </w:rPr>
      </w:pPr>
      <w:r w:rsidRPr="00705A1C">
        <w:rPr>
          <w:lang w:val="en-GB"/>
        </w:rPr>
        <w:lastRenderedPageBreak/>
        <w:t>Entities are concerned about real and perceived barriers to sharing information, including the potential to create legal liabilities (e.g. breaching regulated service quality standards or anti</w:t>
      </w:r>
      <w:r w:rsidRPr="00705A1C">
        <w:rPr>
          <w:lang w:val="en-GB"/>
        </w:rPr>
        <w:noBreakHyphen/>
        <w:t>trust legislation) or harm competitiveness (e.g. information disclosed being used to damage their reputation or gain a competitive advantage).</w:t>
      </w:r>
    </w:p>
    <w:p w14:paraId="0945D11A" w14:textId="77777777" w:rsidR="00705A1C" w:rsidRPr="00705A1C" w:rsidRDefault="00705A1C" w:rsidP="00824F9D">
      <w:pPr>
        <w:rPr>
          <w:lang w:val="en-GB"/>
        </w:rPr>
      </w:pPr>
      <w:r w:rsidRPr="00705A1C">
        <w:rPr>
          <w:lang w:val="en-GB"/>
        </w:rPr>
        <w:t>Only a small proportion of cyber incidents are currently reported, either voluntarily or to meet sector</w:t>
      </w:r>
      <w:r w:rsidRPr="00705A1C">
        <w:rPr>
          <w:lang w:val="en-GB"/>
        </w:rPr>
        <w:noBreakHyphen/>
        <w:t xml:space="preserve">specific requirements. </w:t>
      </w:r>
      <w:proofErr w:type="gramStart"/>
      <w:r w:rsidRPr="00705A1C">
        <w:rPr>
          <w:lang w:val="en-GB"/>
        </w:rPr>
        <w:t>A number of</w:t>
      </w:r>
      <w:proofErr w:type="gramEnd"/>
      <w:r w:rsidRPr="00705A1C">
        <w:rPr>
          <w:lang w:val="en-GB"/>
        </w:rPr>
        <w:t xml:space="preserve"> sectors that provide essential services are not regulated at all, and therefore government has no legislative levers to encourage reporting.</w:t>
      </w:r>
    </w:p>
    <w:p w14:paraId="56737A15" w14:textId="77777777" w:rsidR="00705A1C" w:rsidRPr="00230E6E" w:rsidRDefault="00705A1C" w:rsidP="00824F9D">
      <w:pPr>
        <w:rPr>
          <w:spacing w:val="-2"/>
          <w:lang w:val="en-GB"/>
        </w:rPr>
      </w:pPr>
      <w:r w:rsidRPr="00230E6E">
        <w:rPr>
          <w:spacing w:val="-2"/>
          <w:lang w:val="en-GB"/>
        </w:rPr>
        <w:t xml:space="preserve">While some information is shared voluntarily with government (e.g. to the NCSC or other regulators), this is typically to seek support in responding to cyber incidents. Some entities may be reluctant to report incidents to government where: </w:t>
      </w:r>
    </w:p>
    <w:p w14:paraId="271F54D7" w14:textId="77777777" w:rsidR="00705A1C" w:rsidRPr="00705A1C" w:rsidRDefault="00705A1C" w:rsidP="00824F9D">
      <w:pPr>
        <w:pStyle w:val="Bullets0"/>
        <w:rPr>
          <w:lang w:val="en-GB"/>
        </w:rPr>
      </w:pPr>
      <w:r w:rsidRPr="00705A1C">
        <w:rPr>
          <w:lang w:val="en-GB"/>
        </w:rPr>
        <w:t xml:space="preserve">the information reveals poor security processes or organisational weaknesses </w:t>
      </w:r>
    </w:p>
    <w:p w14:paraId="78069471" w14:textId="77777777" w:rsidR="00705A1C" w:rsidRPr="00705A1C" w:rsidRDefault="00705A1C" w:rsidP="00824F9D">
      <w:pPr>
        <w:pStyle w:val="Bullets0"/>
        <w:rPr>
          <w:lang w:val="en-GB"/>
        </w:rPr>
      </w:pPr>
      <w:r w:rsidRPr="00705A1C">
        <w:rPr>
          <w:lang w:val="en-GB"/>
        </w:rPr>
        <w:t>sharing information could breach legislative or contractual requirements</w:t>
      </w:r>
    </w:p>
    <w:p w14:paraId="2F79B92C" w14:textId="77777777" w:rsidR="00705A1C" w:rsidRPr="00705A1C" w:rsidRDefault="00705A1C" w:rsidP="00824F9D">
      <w:pPr>
        <w:pStyle w:val="Bullets0"/>
        <w:rPr>
          <w:lang w:val="en-GB"/>
        </w:rPr>
      </w:pPr>
      <w:r w:rsidRPr="00705A1C">
        <w:rPr>
          <w:lang w:val="en-GB"/>
        </w:rPr>
        <w:t>there are limited guarantees about how the information will be protected.</w:t>
      </w:r>
    </w:p>
    <w:p w14:paraId="7FF8B502" w14:textId="3C191569" w:rsidR="00705A1C" w:rsidRPr="00824F9D" w:rsidRDefault="00705A1C" w:rsidP="00824F9D">
      <w:r w:rsidRPr="00824F9D">
        <w:t>There are four measures that could be adopted independently, or as a package, to introduce a new way of working between government and industry to understand and manage the cyber risks to the critical infrastructure system.</w:t>
      </w:r>
    </w:p>
    <w:p w14:paraId="034517D3" w14:textId="77777777" w:rsidR="00705A1C" w:rsidRDefault="00705A1C" w:rsidP="00824F9D">
      <w:r w:rsidRPr="00824F9D">
        <w:t>Measure 1 addresses the need for a common operating picture of the critical infrastructure system, including who owns and controls critical infrastructure in New Zealand. This type of information would be required at the time an entity meets the definition of critical infrastructure or when there is a material change to an entity’s operations and therefore the information previously provided.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720"/>
      </w:tblGrid>
      <w:tr w:rsidR="00542215" w14:paraId="414A4A44" w14:textId="77777777" w:rsidTr="00654AA9">
        <w:tc>
          <w:tcPr>
            <w:tcW w:w="8720" w:type="dxa"/>
            <w:shd w:val="clear" w:color="auto" w:fill="F2F2F2" w:themeFill="background1" w:themeFillShade="F2"/>
          </w:tcPr>
          <w:p w14:paraId="2865C889" w14:textId="0C75D8FA" w:rsidR="00542215" w:rsidRPr="00542215" w:rsidRDefault="00542215" w:rsidP="007B15EE">
            <w:pPr>
              <w:pStyle w:val="BoxHead1"/>
              <w:framePr w:hSpace="0" w:wrap="auto" w:vAnchor="margin" w:hAnchor="text" w:yAlign="inline"/>
            </w:pPr>
            <w:r w:rsidRPr="00542215">
              <w:lastRenderedPageBreak/>
              <w:t>Measure 1: Allow government to collect specific information from critical infrastructure entities</w:t>
            </w:r>
          </w:p>
          <w:p w14:paraId="63CB0A35" w14:textId="77777777" w:rsidR="00542215" w:rsidRPr="00542215" w:rsidRDefault="00542215" w:rsidP="00542215">
            <w:pPr>
              <w:pStyle w:val="BoxBody"/>
            </w:pPr>
            <w:r w:rsidRPr="00542215">
              <w:t>Measure 1 would grant the Minister responsible the power to require a critical infrastructure entity to provide certain information to government in a required form at specified intervals. A failure to provide requested information would be an offence.</w:t>
            </w:r>
          </w:p>
          <w:p w14:paraId="7F53764E" w14:textId="77777777" w:rsidR="00542215" w:rsidRPr="00542215" w:rsidRDefault="00542215" w:rsidP="00542215">
            <w:pPr>
              <w:pStyle w:val="BoxBody"/>
            </w:pPr>
            <w:r w:rsidRPr="00542215">
              <w:t>Initially, the information required could include:</w:t>
            </w:r>
          </w:p>
          <w:p w14:paraId="3FEE937C" w14:textId="27C944D5" w:rsidR="00542215" w:rsidRPr="007B15EE" w:rsidRDefault="00542215" w:rsidP="007B15EE">
            <w:pPr>
              <w:pStyle w:val="BoxBullet"/>
            </w:pPr>
            <w:r w:rsidRPr="007B15EE">
              <w:t>a description of the critical infrastructure entity’s operations, including critical components</w:t>
            </w:r>
          </w:p>
          <w:p w14:paraId="3E9CCD58" w14:textId="6F6262A9" w:rsidR="00542215" w:rsidRPr="007B15EE" w:rsidRDefault="00542215" w:rsidP="007B15EE">
            <w:pPr>
              <w:pStyle w:val="BoxBullet"/>
            </w:pPr>
            <w:r w:rsidRPr="007B15EE">
              <w:t>information on the entities and individuals that own and control the critical infrastructure entity</w:t>
            </w:r>
          </w:p>
          <w:p w14:paraId="207E85E2" w14:textId="2C6FF1F2" w:rsidR="00542215" w:rsidRPr="007B15EE" w:rsidRDefault="00542215" w:rsidP="007B15EE">
            <w:pPr>
              <w:pStyle w:val="BoxBullet"/>
            </w:pPr>
            <w:r w:rsidRPr="007B15EE">
              <w:t>mapping of key dependencies and interdependencies.</w:t>
            </w:r>
          </w:p>
          <w:p w14:paraId="630E93D5" w14:textId="30E2EB92" w:rsidR="00542215" w:rsidRDefault="00542215" w:rsidP="00542215">
            <w:pPr>
              <w:pStyle w:val="BoxBody"/>
            </w:pPr>
            <w:r w:rsidRPr="00542215">
              <w:t>Specific requirements would be set in regulations to allow flexibility in the information that is collected.</w:t>
            </w:r>
          </w:p>
        </w:tc>
      </w:tr>
    </w:tbl>
    <w:tbl>
      <w:tblPr>
        <w:tblStyle w:val="TableGrid"/>
        <w:tblpPr w:leftFromText="180" w:rightFromText="180" w:vertAnchor="text" w:horzAnchor="margin" w:tblpY="15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720"/>
      </w:tblGrid>
      <w:tr w:rsidR="007B15EE" w:rsidRPr="007B15EE" w14:paraId="4546D697" w14:textId="77777777" w:rsidTr="007B15EE">
        <w:trPr>
          <w:trHeight w:val="2987"/>
        </w:trPr>
        <w:tc>
          <w:tcPr>
            <w:tcW w:w="8720" w:type="dxa"/>
            <w:shd w:val="clear" w:color="auto" w:fill="F2F2F2" w:themeFill="background1" w:themeFillShade="F2"/>
          </w:tcPr>
          <w:p w14:paraId="218FB48F" w14:textId="77777777" w:rsidR="007B15EE" w:rsidRPr="007B15EE" w:rsidRDefault="007B15EE" w:rsidP="007B15EE">
            <w:pPr>
              <w:pStyle w:val="BoxHead1"/>
              <w:framePr w:hSpace="0" w:wrap="auto" w:vAnchor="margin" w:hAnchor="text" w:yAlign="inline"/>
            </w:pPr>
            <w:r w:rsidRPr="007B15EE">
              <w:t>Measure 2: Establish a voluntary information exchange</w:t>
            </w:r>
          </w:p>
          <w:p w14:paraId="210E8667" w14:textId="29BF2A61" w:rsidR="006B5EF7" w:rsidRPr="007B15EE" w:rsidRDefault="007B15EE" w:rsidP="006B5EF7">
            <w:pPr>
              <w:pStyle w:val="BoxBody"/>
            </w:pPr>
            <w:r w:rsidRPr="007B15EE">
              <w:t>An information exchange would help connect entities across the critical infrastructure system with each other and with government to coordinate cyber security efforts. This engagement would support a collective response to cyber incidents that have cascading consequences. It would also provide a secure, non-competitive environment for government and industry to work together to tackle cyber threats, mitigate cyber risks and develop solutions to shared cyber security challenges.</w:t>
            </w:r>
          </w:p>
        </w:tc>
      </w:tr>
    </w:tbl>
    <w:p w14:paraId="1E173E76" w14:textId="402E8764" w:rsidR="00705A1C" w:rsidRDefault="00705A1C" w:rsidP="00542215">
      <w:pPr>
        <w:spacing w:before="240"/>
      </w:pPr>
      <w:r w:rsidRPr="00824F9D">
        <w:t xml:space="preserve">Measure 2 would establish a legal framework and forum to facilitate voluntary information sharing, including setting out how any information shared would be protected. </w:t>
      </w:r>
    </w:p>
    <w:p w14:paraId="23CA9750" w14:textId="77777777" w:rsidR="006B5EF7" w:rsidRDefault="006B5EF7" w:rsidP="006B5EF7">
      <w:pPr>
        <w:spacing w:before="240" w:after="0"/>
      </w:pPr>
    </w:p>
    <w:bookmarkEnd w:id="38"/>
    <w:p w14:paraId="3AB773A7" w14:textId="77777777" w:rsidR="00DA7F4D" w:rsidRDefault="00705A1C" w:rsidP="006B5EF7">
      <w:r w:rsidRPr="00824F9D">
        <w:t>The exchange would create a cross</w:t>
      </w:r>
      <w:r w:rsidRPr="00824F9D">
        <w:noBreakHyphen/>
        <w:t xml:space="preserve">sectoral mechanism for engagement, recognising interdependencies and connections between critical infrastructure entities and sectors. </w:t>
      </w:r>
    </w:p>
    <w:p w14:paraId="789DF39F" w14:textId="0D8B7941" w:rsidR="00DA7F4D" w:rsidRDefault="00DA7F4D" w:rsidP="00DA7F4D">
      <w:r w:rsidRPr="00824F9D">
        <w:lastRenderedPageBreak/>
        <w:t>Measure 3 addresses the need for critical infrastructure entities to share information with each other that may be commercially sensitive but is mutually beneficial to exchange.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105905" w:rsidRPr="00105905" w14:paraId="7C81D063" w14:textId="77777777" w:rsidTr="00105905">
        <w:trPr>
          <w:cantSplit/>
        </w:trPr>
        <w:tc>
          <w:tcPr>
            <w:tcW w:w="0" w:type="auto"/>
            <w:shd w:val="clear" w:color="auto" w:fill="F2F2F2" w:themeFill="background1" w:themeFillShade="F2"/>
          </w:tcPr>
          <w:p w14:paraId="22049D6D" w14:textId="77777777" w:rsidR="00105905" w:rsidRPr="00105905" w:rsidRDefault="00105905" w:rsidP="00105905">
            <w:pPr>
              <w:pStyle w:val="BoxHead1"/>
              <w:framePr w:hSpace="0" w:wrap="auto" w:vAnchor="margin" w:hAnchor="text" w:yAlign="inline"/>
            </w:pPr>
            <w:r w:rsidRPr="00105905">
              <w:t>Measure 3: Require critical infrastructure entities to share certain information with each other</w:t>
            </w:r>
          </w:p>
          <w:p w14:paraId="0629612E" w14:textId="2ED1C9FE" w:rsidR="00105905" w:rsidRPr="00105905" w:rsidRDefault="00105905" w:rsidP="008C7871">
            <w:pPr>
              <w:pStyle w:val="BoxBody"/>
            </w:pPr>
            <w:r w:rsidRPr="00105905">
              <w:t>Measure 3 would allow the Minister responsible to require critical infrastructure entities to share certain information with each other at a prescribed interval. This could include, for example, information on projected restoration times.</w:t>
            </w:r>
          </w:p>
        </w:tc>
      </w:tr>
    </w:tbl>
    <w:p w14:paraId="292315DF" w14:textId="7908D345" w:rsidR="00DA7F4D" w:rsidRDefault="00DA7F4D" w:rsidP="00F63607">
      <w:pPr>
        <w:spacing w:after="60"/>
      </w:pPr>
    </w:p>
    <w:p w14:paraId="31E36A65" w14:textId="7C757D8E" w:rsidR="008C7871" w:rsidRDefault="008C7871" w:rsidP="008C7871">
      <w:r w:rsidRPr="00105905">
        <w:t>In the first instance, this would likely apply only to critical infrastructure of national significance, with a focus on better understanding interdependencies. This would help government identify pressure points across the system and the priority issues that need addressing to mitigate the cascading impacts of cyber incidents.</w:t>
      </w:r>
    </w:p>
    <w:tbl>
      <w:tblPr>
        <w:tblStyle w:val="DPMCpullout1"/>
        <w:tblW w:w="4893" w:type="pct"/>
        <w:tblBorders>
          <w:top w:val="none" w:sz="0" w:space="0" w:color="auto"/>
          <w:bottom w:val="none" w:sz="0" w:space="0" w:color="auto"/>
        </w:tblBorders>
        <w:shd w:val="clear" w:color="auto" w:fill="F2F2F2" w:themeFill="background1" w:themeFillShade="F2"/>
        <w:tblLook w:val="04A0" w:firstRow="1" w:lastRow="0" w:firstColumn="1" w:lastColumn="0" w:noHBand="0" w:noVBand="1"/>
      </w:tblPr>
      <w:tblGrid>
        <w:gridCol w:w="8543"/>
      </w:tblGrid>
      <w:tr w:rsidR="006B5EF7" w:rsidRPr="00B26771" w14:paraId="26AC77DF" w14:textId="77777777" w:rsidTr="006B5EF7">
        <w:trPr>
          <w:cantSplit w:val="0"/>
        </w:trPr>
        <w:tc>
          <w:tcPr>
            <w:tcW w:w="0" w:type="auto"/>
            <w:shd w:val="clear" w:color="auto" w:fill="F2F2F2" w:themeFill="background1" w:themeFillShade="F2"/>
          </w:tcPr>
          <w:p w14:paraId="64508B06" w14:textId="77777777" w:rsidR="006B5EF7" w:rsidRPr="00B26771" w:rsidRDefault="006B5EF7" w:rsidP="006B5EF7">
            <w:pPr>
              <w:pStyle w:val="BoxHead1"/>
              <w:keepNext w:val="0"/>
              <w:framePr w:hSpace="0" w:wrap="auto" w:vAnchor="margin" w:hAnchor="text" w:yAlign="inline"/>
            </w:pPr>
            <w:r w:rsidRPr="00105905">
              <w:t>How</w:t>
            </w:r>
            <w:r w:rsidRPr="00B26771">
              <w:t xml:space="preserve"> would information be protected?</w:t>
            </w:r>
          </w:p>
          <w:p w14:paraId="00F24372" w14:textId="77777777" w:rsidR="006B5EF7" w:rsidRPr="00105905" w:rsidRDefault="006B5EF7" w:rsidP="006B5EF7">
            <w:pPr>
              <w:pStyle w:val="BoxBody"/>
              <w:spacing w:after="120"/>
            </w:pPr>
            <w:r w:rsidRPr="00105905">
              <w:t xml:space="preserve">To foster trust and transparency, information shared or collected would be held in strict confidence. </w:t>
            </w:r>
          </w:p>
          <w:p w14:paraId="69120CDB" w14:textId="77777777" w:rsidR="006B5EF7" w:rsidRPr="00105905" w:rsidRDefault="006B5EF7" w:rsidP="006B5EF7">
            <w:pPr>
              <w:pStyle w:val="BoxBody"/>
              <w:spacing w:after="120"/>
            </w:pPr>
            <w:r w:rsidRPr="00105905">
              <w:t>The government would legally only be able to use and share information obtained subject to the following constraints:</w:t>
            </w:r>
          </w:p>
          <w:p w14:paraId="74842059" w14:textId="77777777" w:rsidR="006B5EF7" w:rsidRPr="00105905" w:rsidRDefault="006B5EF7" w:rsidP="008C7871">
            <w:pPr>
              <w:pStyle w:val="BoxBullet"/>
            </w:pPr>
            <w:r w:rsidRPr="00105905">
              <w:t>Information could only be used consistent with the purpose of enhancing critical infrastructure security or preserving New Zealand’s national security or public order.</w:t>
            </w:r>
          </w:p>
          <w:p w14:paraId="0BD9E621" w14:textId="77777777" w:rsidR="006B5EF7" w:rsidRPr="00105905" w:rsidRDefault="006B5EF7" w:rsidP="008C7871">
            <w:pPr>
              <w:pStyle w:val="BoxBullet"/>
            </w:pPr>
            <w:r w:rsidRPr="00105905">
              <w:t>Information could only be disclosed by the critical infrastructure regulator(s) with specified government agencies that have a role in ensuring the security and ongoing operation of the critical infrastructure system.</w:t>
            </w:r>
          </w:p>
          <w:p w14:paraId="415E33C4" w14:textId="77777777" w:rsidR="006B5EF7" w:rsidRPr="00105905" w:rsidRDefault="006B5EF7" w:rsidP="008C7871">
            <w:pPr>
              <w:pStyle w:val="BoxBullet"/>
            </w:pPr>
            <w:r w:rsidRPr="00105905">
              <w:t xml:space="preserve">Information could only be disclosed to other organisations if there are reasonable grounds to believe its disclosure is necessary to preserve national security or public order. </w:t>
            </w:r>
          </w:p>
          <w:p w14:paraId="55F4AD62" w14:textId="77777777" w:rsidR="006B5EF7" w:rsidRPr="00B26771" w:rsidRDefault="006B5EF7" w:rsidP="006B5EF7">
            <w:pPr>
              <w:pStyle w:val="BoxBody"/>
              <w:spacing w:after="120"/>
            </w:pPr>
            <w:r w:rsidRPr="00105905">
              <w:t>Any breach of these protections by a government agency would be an offence.</w:t>
            </w:r>
          </w:p>
        </w:tc>
      </w:tr>
    </w:tbl>
    <w:tbl>
      <w:tblPr>
        <w:tblStyle w:val="TableGrid"/>
        <w:tblpPr w:leftFromText="180" w:rightFromText="180" w:vertAnchor="page" w:horzAnchor="margin" w:tblpY="34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720"/>
      </w:tblGrid>
      <w:tr w:rsidR="00F63607" w14:paraId="5F1775D2" w14:textId="77777777" w:rsidTr="003F32F7">
        <w:tc>
          <w:tcPr>
            <w:tcW w:w="8720" w:type="dxa"/>
            <w:shd w:val="clear" w:color="auto" w:fill="F2F2F2" w:themeFill="background1" w:themeFillShade="F2"/>
          </w:tcPr>
          <w:p w14:paraId="0968759D" w14:textId="77777777" w:rsidR="00F63607" w:rsidRDefault="00F63607" w:rsidP="003F32F7">
            <w:pPr>
              <w:pStyle w:val="BoxHead1"/>
              <w:framePr w:hSpace="0" w:wrap="auto" w:vAnchor="margin" w:hAnchor="text" w:yAlign="inline"/>
            </w:pPr>
            <w:r>
              <w:lastRenderedPageBreak/>
              <w:t xml:space="preserve">Measure 4: Require critical infrastructure entities to report cyber incidents </w:t>
            </w:r>
          </w:p>
          <w:p w14:paraId="0774ACFB" w14:textId="3098FDEB" w:rsidR="00F63607" w:rsidRDefault="00F63607" w:rsidP="003F32F7">
            <w:pPr>
              <w:pStyle w:val="BoxBody"/>
            </w:pPr>
            <w:r>
              <w:t>Measure 4 would establish reporting requirements for cyber incidents by critical infrastructure entities to the NCSC and the critical infrastructure regulator(s)</w:t>
            </w:r>
            <w:r>
              <w:rPr>
                <w:rStyle w:val="FootnoteReference"/>
              </w:rPr>
              <w:footnoteReference w:id="15"/>
            </w:r>
            <w:r>
              <w:t xml:space="preserve">, including: </w:t>
            </w:r>
          </w:p>
          <w:p w14:paraId="221CBB5A" w14:textId="77777777" w:rsidR="00F63607" w:rsidRDefault="00F63607" w:rsidP="003F32F7">
            <w:pPr>
              <w:pStyle w:val="BoxBullet"/>
            </w:pPr>
            <w:r>
              <w:t xml:space="preserve">regularly reporting all cyber incidents (with the frequency of reporting to be set in regulations). </w:t>
            </w:r>
          </w:p>
          <w:p w14:paraId="434C3EF1" w14:textId="77777777" w:rsidR="00F63607" w:rsidRDefault="00F63607" w:rsidP="003F32F7">
            <w:pPr>
              <w:pStyle w:val="BoxBullet"/>
            </w:pPr>
            <w:r>
              <w:t>reporting significant cyber incidents as soon as practicable. This would include an initial early warning not later than 24 hours after the incident was detected, and the full report not later than 72 hours after the incident was detected.</w:t>
            </w:r>
          </w:p>
        </w:tc>
      </w:tr>
    </w:tbl>
    <w:p w14:paraId="0E1BD8DA" w14:textId="694D3CAF" w:rsidR="00705A1C" w:rsidRPr="00F63607" w:rsidRDefault="00705A1C" w:rsidP="00F63607">
      <w:r w:rsidRPr="00F63607">
        <w:t>Measure 4 would require critical infrastructure entities to report cyber incidents with the goal of building a more accurate picture of the threat environment and scale of cyber harm experienced by New Zealand’s critical infrastructure system.</w:t>
      </w:r>
    </w:p>
    <w:p w14:paraId="5B4E263C" w14:textId="77777777" w:rsidR="003F32F7" w:rsidRDefault="003F32F7" w:rsidP="00803A73">
      <w:pPr>
        <w:spacing w:before="240" w:after="0"/>
      </w:pPr>
    </w:p>
    <w:p w14:paraId="7719F913" w14:textId="69862BE0" w:rsidR="00705A1C" w:rsidRPr="00F63607" w:rsidRDefault="00705A1C" w:rsidP="00F63607">
      <w:r w:rsidRPr="00F63607">
        <w:t>Rapid reporting of significant incidents would also allow the NCSC to help entities respond to high</w:t>
      </w:r>
      <w:r w:rsidRPr="00F63607">
        <w:noBreakHyphen/>
        <w:t>impact cyber incidents so they can recover as soon as possible with minimal disruption to the delivery of essential services.</w:t>
      </w:r>
    </w:p>
    <w:p w14:paraId="3B3CB736" w14:textId="77777777" w:rsidR="00DD7BDC" w:rsidRPr="00F63607" w:rsidRDefault="00DD7BDC" w:rsidP="00F63607">
      <w:r w:rsidRPr="00F63607">
        <w:br w:type="page"/>
      </w:r>
    </w:p>
    <w:p w14:paraId="3A754FD4" w14:textId="1DC57596" w:rsidR="00705A1C" w:rsidRPr="00705A1C" w:rsidRDefault="00705A1C" w:rsidP="00803A73">
      <w:pPr>
        <w:pStyle w:val="Heading3"/>
      </w:pPr>
      <w:r w:rsidRPr="00705A1C">
        <w:lastRenderedPageBreak/>
        <w:t>How could a significant cyber incident or a cyber incident be defined?</w:t>
      </w:r>
    </w:p>
    <w:p w14:paraId="418450A8" w14:textId="7A7466FD" w:rsidR="00705A1C" w:rsidRPr="00705A1C" w:rsidRDefault="00705A1C" w:rsidP="00803A73">
      <w:pPr>
        <w:rPr>
          <w:lang w:val="en-GB"/>
        </w:rPr>
      </w:pPr>
      <w:r w:rsidRPr="00705A1C">
        <w:rPr>
          <w:lang w:val="en-GB"/>
        </w:rPr>
        <w:t xml:space="preserve">A significant cyber incident would be defined as an event involving an information system that has had </w:t>
      </w:r>
      <w:proofErr w:type="gramStart"/>
      <w:r w:rsidRPr="00705A1C">
        <w:rPr>
          <w:lang w:val="en-GB"/>
        </w:rPr>
        <w:t>or,</w:t>
      </w:r>
      <w:proofErr w:type="gramEnd"/>
      <w:r w:rsidRPr="00705A1C">
        <w:rPr>
          <w:lang w:val="en-GB"/>
        </w:rPr>
        <w:t xml:space="preserve"> is likely to have, serious impact</w:t>
      </w:r>
      <w:r w:rsidRPr="00705A1C">
        <w:rPr>
          <w:rFonts w:cs="Arial"/>
          <w:vertAlign w:val="superscript"/>
          <w:lang w:val="en-GB" w:eastAsia="en-NZ"/>
        </w:rPr>
        <w:footnoteReference w:id="16"/>
      </w:r>
      <w:r w:rsidRPr="00705A1C">
        <w:rPr>
          <w:lang w:val="en-GB"/>
        </w:rPr>
        <w:t xml:space="preserve"> on: </w:t>
      </w:r>
    </w:p>
    <w:p w14:paraId="0C17124E" w14:textId="77777777" w:rsidR="00705A1C" w:rsidRPr="00705A1C" w:rsidRDefault="00705A1C" w:rsidP="00803A73">
      <w:pPr>
        <w:pStyle w:val="Bullets0"/>
        <w:rPr>
          <w:lang w:val="en-GB"/>
        </w:rPr>
      </w:pPr>
      <w:r w:rsidRPr="00705A1C">
        <w:rPr>
          <w:lang w:val="en-GB"/>
        </w:rPr>
        <w:t>the confidentiality, integrity or availability of information, or</w:t>
      </w:r>
    </w:p>
    <w:p w14:paraId="6C25E292" w14:textId="77777777" w:rsidR="00705A1C" w:rsidRPr="00705A1C" w:rsidRDefault="00705A1C" w:rsidP="00803A73">
      <w:pPr>
        <w:pStyle w:val="Bullets0"/>
        <w:rPr>
          <w:lang w:val="en-GB"/>
        </w:rPr>
      </w:pPr>
      <w:r w:rsidRPr="00705A1C">
        <w:rPr>
          <w:lang w:val="en-GB"/>
        </w:rPr>
        <w:t>the delivery of essential services.</w:t>
      </w:r>
    </w:p>
    <w:p w14:paraId="0471E9A3" w14:textId="77777777" w:rsidR="00705A1C" w:rsidRPr="00705A1C" w:rsidRDefault="00705A1C" w:rsidP="00803A73">
      <w:pPr>
        <w:rPr>
          <w:lang w:val="en-GB"/>
        </w:rPr>
      </w:pPr>
      <w:r w:rsidRPr="00705A1C">
        <w:rPr>
          <w:lang w:val="en-GB"/>
        </w:rPr>
        <w:t>A cyber incident would be defined in the same way, without reference to the incident’s materiality.</w:t>
      </w:r>
    </w:p>
    <w:p w14:paraId="686E623F" w14:textId="6537E18A" w:rsidR="00705A1C" w:rsidRPr="00705A1C" w:rsidRDefault="00705A1C" w:rsidP="00803A73">
      <w:pPr>
        <w:pStyle w:val="Heading3"/>
      </w:pPr>
      <w:r w:rsidRPr="00705A1C">
        <w:t>How could reporting on cyber incidents be used?</w:t>
      </w:r>
    </w:p>
    <w:p w14:paraId="6DBBF429" w14:textId="054D8B7A" w:rsidR="00705A1C" w:rsidRPr="00B52CDA" w:rsidRDefault="00705A1C" w:rsidP="00803A73">
      <w:r w:rsidRPr="00B52CDA">
        <w:t xml:space="preserve">Incident reports would be subject to the same protections proposed for other types of information sharing and collection set out on page </w:t>
      </w:r>
      <w:r w:rsidR="00364FFC">
        <w:t>27</w:t>
      </w:r>
      <w:r w:rsidRPr="00B52CDA">
        <w:t xml:space="preserve">. </w:t>
      </w:r>
    </w:p>
    <w:p w14:paraId="5E92AA99" w14:textId="77777777" w:rsidR="00705A1C" w:rsidRPr="00B52CDA" w:rsidRDefault="00705A1C" w:rsidP="00803A73">
      <w:r w:rsidRPr="00B52CDA">
        <w:t xml:space="preserve">The government’s priority upon receiving an incident report is swift remediation and recovery, rather than immediate compliance action. Onward sharing of information reported to the NCSC in the context of incident response and remediation would be limited, so it would not be used for regulatory purposes. </w:t>
      </w:r>
    </w:p>
    <w:p w14:paraId="3BA7AA64" w14:textId="77777777" w:rsidR="00705A1C" w:rsidRPr="00B52CDA" w:rsidRDefault="00705A1C" w:rsidP="00803A73">
      <w:r w:rsidRPr="00B52CDA">
        <w:t xml:space="preserve">This would reduce the risk that entities do not report incidents, delay reporting, or limit the detail they provide out of concern that the information will be used for regulatory action. </w:t>
      </w:r>
    </w:p>
    <w:p w14:paraId="2A408D01" w14:textId="77777777" w:rsidR="00705A1C" w:rsidRPr="00B52CDA" w:rsidRDefault="00705A1C" w:rsidP="00803A73">
      <w:r w:rsidRPr="00B52CDA">
        <w:t xml:space="preserve">This limited use obligation would not provide a safe harbour from legal liability or prevent a regulator from acquiring the same information directly from the entity. </w:t>
      </w:r>
    </w:p>
    <w:p w14:paraId="096E2E91" w14:textId="77777777" w:rsidR="00705A1C" w:rsidRPr="00B52CDA" w:rsidRDefault="00705A1C" w:rsidP="00803A73">
      <w:r w:rsidRPr="00B52CDA">
        <w:t>Australia has also legislated a limited use obligation but only with respect to voluntary reporting of incidents to the Australian Signals Directorate (Intelligence Services and Other Legislation Amendment (Cyber Security) Act 2024) or its National Cyber Security Coordinator (Cyber Security Act 2024).</w:t>
      </w:r>
    </w:p>
    <w:p w14:paraId="62FD23ED" w14:textId="0CBBDDE9" w:rsidR="00705A1C" w:rsidRPr="00705A1C" w:rsidRDefault="00705A1C" w:rsidP="00803A73">
      <w:pPr>
        <w:pStyle w:val="Heading2"/>
      </w:pPr>
      <w:r w:rsidRPr="00705A1C">
        <w:lastRenderedPageBreak/>
        <w:t>Introducing minimum cyber risk management requirements across the critical infrastructure system</w:t>
      </w:r>
    </w:p>
    <w:p w14:paraId="24581E3B" w14:textId="5B2084A8" w:rsidR="00705A1C" w:rsidRPr="00705A1C" w:rsidRDefault="00705A1C" w:rsidP="008C7871">
      <w:pPr>
        <w:pStyle w:val="Introduction"/>
        <w:rPr>
          <w:lang w:eastAsia="en-NZ"/>
        </w:rPr>
      </w:pPr>
      <w:r w:rsidRPr="00705A1C">
        <w:t>Good risk management is key to enhancing the cyber security of our critical infrastructure system. It is important that minimum requirements for cyber risk management</w:t>
      </w:r>
      <w:r w:rsidRPr="00705A1C">
        <w:rPr>
          <w:lang w:eastAsia="en-NZ"/>
        </w:rPr>
        <w:t xml:space="preserve"> are set consistently for all critical infrastructure entities to ensure they work towards a common level of security. The New Zealand Government must play a role in setting and enforcing these.</w:t>
      </w:r>
    </w:p>
    <w:p w14:paraId="638C7CD2" w14:textId="0DB96239" w:rsidR="00705A1C" w:rsidRPr="00B52CDA" w:rsidRDefault="00705A1C" w:rsidP="00803A73">
      <w:bookmarkStart w:id="39" w:name="_Hlk199164789"/>
      <w:r w:rsidRPr="00B52CDA">
        <w:t>Minimum requirements are designed to empower critical infrastructure entities to identify the most cost</w:t>
      </w:r>
      <w:r w:rsidRPr="00B52CDA">
        <w:noBreakHyphen/>
        <w:t xml:space="preserve">effective measures to manage their cyber risks. This recognises that critical infrastructure entities know their businesses, supply chains and value chains best. It also allows entities to leverage any existing measures they undertake to prevent or protect themselves from cyber risks. </w:t>
      </w:r>
    </w:p>
    <w:p w14:paraId="1F9D77C2" w14:textId="3AAABD03" w:rsidR="00705A1C" w:rsidRPr="00B52CDA" w:rsidRDefault="00705A1C" w:rsidP="00803A73">
      <w:r w:rsidRPr="00B52CDA">
        <w:t xml:space="preserve">The requirement to align with a cyber security framework recognises that capability is limited in some entities and sectors, and it may be more effective to implement a structured set of standards, practices and security controls. It would further ensure consistency in approaches to cyber security across the critical infrastructure system. </w:t>
      </w:r>
    </w:p>
    <w:p w14:paraId="7707FD6D" w14:textId="31717BA6" w:rsidR="00705A1C" w:rsidRPr="00B52CDA" w:rsidRDefault="00705A1C" w:rsidP="00803A73">
      <w:r w:rsidRPr="00B52CDA">
        <w:t>While it is not proposed that an exhaustive list of accepted frameworks would be provided by government, entities would be required to justify their chosen cyber security framework as well as confirm compliance.</w:t>
      </w:r>
    </w:p>
    <w:p w14:paraId="08924865" w14:textId="657CCC0E" w:rsidR="00705A1C" w:rsidRDefault="00705A1C" w:rsidP="00803A73">
      <w:r w:rsidRPr="00B52CDA">
        <w:t xml:space="preserve">Requiring other entities that have operational control over critical components, such as suppliers or contractors, to support critical infrastructure entities to meet their risk management obligations is intended to help ensure consistent alignment with cyber security frameworks throughout the supply chain and manage any risks that have the potential to disrupt critical infrastructure. </w:t>
      </w:r>
    </w:p>
    <w:tbl>
      <w:tblPr>
        <w:tblStyle w:val="TableGrid"/>
        <w:tblpPr w:leftFromText="180" w:rightFromText="180" w:vertAnchor="page" w:horzAnchor="margin" w:tblpY="23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720"/>
      </w:tblGrid>
      <w:tr w:rsidR="00803A73" w14:paraId="6D2B3579" w14:textId="77777777" w:rsidTr="001F5958">
        <w:trPr>
          <w:cantSplit/>
        </w:trPr>
        <w:tc>
          <w:tcPr>
            <w:tcW w:w="8720" w:type="dxa"/>
            <w:shd w:val="clear" w:color="auto" w:fill="F2F2F2" w:themeFill="background1" w:themeFillShade="F2"/>
          </w:tcPr>
          <w:p w14:paraId="0B64FDFC" w14:textId="77777777" w:rsidR="00803A73" w:rsidRDefault="00803A73" w:rsidP="001F5958">
            <w:pPr>
              <w:pStyle w:val="BoxHead1"/>
              <w:framePr w:hSpace="0" w:wrap="auto" w:vAnchor="margin" w:hAnchor="text" w:yAlign="inline"/>
            </w:pPr>
            <w:r>
              <w:lastRenderedPageBreak/>
              <w:t>Measure 5: Require critical infrastructure entities to develop, implement and maintain a risk management programme aligned with an internationally recognised cyber security framework</w:t>
            </w:r>
          </w:p>
          <w:p w14:paraId="3C706B90" w14:textId="77777777" w:rsidR="00803A73" w:rsidRDefault="00803A73" w:rsidP="001F5958">
            <w:pPr>
              <w:pStyle w:val="BoxBody"/>
            </w:pPr>
            <w:r>
              <w:t>Measure 5 would require critical infrastructure entities to develop, maintain and implement a risk management programme that:</w:t>
            </w:r>
          </w:p>
          <w:p w14:paraId="3FDB43F0" w14:textId="78B602E5" w:rsidR="00803A73" w:rsidRDefault="00803A73" w:rsidP="001F5958">
            <w:pPr>
              <w:pStyle w:val="BoxBullet"/>
            </w:pPr>
            <w:r>
              <w:t>identifies components that are critical to the delivery of essential services</w:t>
            </w:r>
          </w:p>
          <w:p w14:paraId="59CA12BF" w14:textId="23836C95" w:rsidR="00803A73" w:rsidRDefault="00803A73" w:rsidP="001F5958">
            <w:pPr>
              <w:pStyle w:val="BoxBullet"/>
            </w:pPr>
            <w:r>
              <w:t>identifies cyber risks that are material to those critical components as determined by a reasonable person in the same set of circumstances</w:t>
            </w:r>
          </w:p>
          <w:p w14:paraId="383E0AF2" w14:textId="2C3724E8" w:rsidR="00803A73" w:rsidRDefault="00803A73" w:rsidP="001F5958">
            <w:pPr>
              <w:pStyle w:val="BoxBullet"/>
            </w:pPr>
            <w:r>
              <w:t>treats cyber risks that are material to the critical components as far as reasonably practicable</w:t>
            </w:r>
          </w:p>
          <w:p w14:paraId="3F36AC6C" w14:textId="526406F4" w:rsidR="00803A73" w:rsidRDefault="00803A73" w:rsidP="001F5958">
            <w:pPr>
              <w:pStyle w:val="BoxBullet"/>
            </w:pPr>
            <w:r>
              <w:t>complies with a cyber security framework that is endorsed by the NCSC or recognised internationally, such as the US National Institute of Standards and Technology Cybersecurity Framework (NIST CSF) or ISO/IEC 27001:2022.</w:t>
            </w:r>
          </w:p>
          <w:p w14:paraId="2F818227" w14:textId="469622D4" w:rsidR="00803A73" w:rsidRDefault="00803A73" w:rsidP="001F5958">
            <w:pPr>
              <w:pStyle w:val="BoxBody"/>
            </w:pPr>
            <w:r>
              <w:t xml:space="preserve">Figure 4 on page </w:t>
            </w:r>
            <w:r w:rsidR="00364FFC">
              <w:t>32</w:t>
            </w:r>
            <w:r>
              <w:t xml:space="preserve"> summarises the key steps entities would be expected to complete in developing and implementing the risk management programme.</w:t>
            </w:r>
          </w:p>
          <w:p w14:paraId="166AE09F" w14:textId="77777777" w:rsidR="00803A73" w:rsidRDefault="00803A73" w:rsidP="001F5958">
            <w:pPr>
              <w:pStyle w:val="BoxBody"/>
            </w:pPr>
            <w:r>
              <w:t xml:space="preserve">To support critical infrastructure </w:t>
            </w:r>
            <w:proofErr w:type="gramStart"/>
            <w:r>
              <w:t>entities</w:t>
            </w:r>
            <w:proofErr w:type="gramEnd"/>
            <w:r>
              <w:t xml:space="preserve"> fulfil their risk management programme obligations, other entities that have operational control over critical components would be required to support critical infrastructure entities as far as practicable.</w:t>
            </w:r>
          </w:p>
          <w:p w14:paraId="1D37EE0F" w14:textId="77777777" w:rsidR="00803A73" w:rsidRDefault="00803A73" w:rsidP="001F5958">
            <w:pPr>
              <w:pStyle w:val="BoxBody"/>
            </w:pPr>
            <w:r>
              <w:t>In addition, the Minister responsible would be able to:</w:t>
            </w:r>
          </w:p>
          <w:p w14:paraId="05B47511" w14:textId="658E719F" w:rsidR="00803A73" w:rsidRDefault="00803A73" w:rsidP="001F5958">
            <w:pPr>
              <w:pStyle w:val="BoxBullet"/>
            </w:pPr>
            <w:r>
              <w:t xml:space="preserve">specify any additional measures that entities may need to undertake as part of the risk management programme </w:t>
            </w:r>
          </w:p>
          <w:p w14:paraId="32973078" w14:textId="24A9CA30" w:rsidR="00803A73" w:rsidRDefault="00803A73" w:rsidP="001F5958">
            <w:pPr>
              <w:pStyle w:val="BoxBullet"/>
            </w:pPr>
            <w:r>
              <w:t>require entities (or a subset of entities such as critical infrastructure of national significance) to take prescribed actions to manage a specific risk or set of risks.</w:t>
            </w:r>
          </w:p>
        </w:tc>
      </w:tr>
    </w:tbl>
    <w:p w14:paraId="7F9EF1BD" w14:textId="7DA2D3B4" w:rsidR="00DD7BDC" w:rsidRDefault="00DD7BDC" w:rsidP="00705A1C">
      <w:pPr>
        <w:keepNext/>
        <w:suppressAutoHyphens w:val="0"/>
        <w:autoSpaceDE/>
        <w:autoSpaceDN/>
        <w:adjustRightInd/>
        <w:spacing w:after="160" w:line="259" w:lineRule="auto"/>
        <w:textAlignment w:val="auto"/>
        <w:rPr>
          <w:rFonts w:eastAsia="Aptos"/>
          <w:color w:val="191919"/>
          <w:sz w:val="18"/>
          <w:szCs w:val="18"/>
          <w:lang w:val="en-GB"/>
        </w:rPr>
      </w:pPr>
      <w:bookmarkStart w:id="40" w:name="_Ref196334047"/>
    </w:p>
    <w:p w14:paraId="785F58A5" w14:textId="77777777" w:rsidR="00DD7BDC" w:rsidRDefault="00DD7BDC">
      <w:pPr>
        <w:suppressAutoHyphens w:val="0"/>
        <w:autoSpaceDE/>
        <w:autoSpaceDN/>
        <w:adjustRightInd/>
        <w:spacing w:after="160" w:line="259" w:lineRule="auto"/>
        <w:textAlignment w:val="auto"/>
        <w:rPr>
          <w:rFonts w:eastAsia="Aptos"/>
          <w:color w:val="191919"/>
          <w:sz w:val="18"/>
          <w:szCs w:val="18"/>
          <w:lang w:val="en-GB"/>
        </w:rPr>
      </w:pPr>
      <w:r>
        <w:rPr>
          <w:rFonts w:eastAsia="Aptos"/>
          <w:color w:val="191919"/>
          <w:sz w:val="18"/>
          <w:szCs w:val="18"/>
          <w:lang w:val="en-GB"/>
        </w:rPr>
        <w:br w:type="page"/>
      </w:r>
    </w:p>
    <w:p w14:paraId="532E57D5" w14:textId="25328DA9" w:rsidR="00705A1C" w:rsidRPr="00705A1C" w:rsidRDefault="00BF4365" w:rsidP="00803A73">
      <w:pPr>
        <w:pStyle w:val="Heading6"/>
        <w:rPr>
          <w:lang w:val="en-GB"/>
        </w:rPr>
      </w:pPr>
      <w:r>
        <w:rPr>
          <w:lang w:val="en-GB"/>
        </w:rPr>
        <w:lastRenderedPageBreak/>
        <w:drawing>
          <wp:anchor distT="0" distB="0" distL="114300" distR="114300" simplePos="0" relativeHeight="251695134" behindDoc="1" locked="0" layoutInCell="1" allowOverlap="1" wp14:anchorId="18667386" wp14:editId="2D7D3B1E">
            <wp:simplePos x="0" y="0"/>
            <wp:positionH relativeFrom="column">
              <wp:posOffset>-141605</wp:posOffset>
            </wp:positionH>
            <wp:positionV relativeFrom="paragraph">
              <wp:posOffset>-116205</wp:posOffset>
            </wp:positionV>
            <wp:extent cx="5835015" cy="5486400"/>
            <wp:effectExtent l="0" t="0" r="0" b="0"/>
            <wp:wrapNone/>
            <wp:docPr id="20195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5601" cy="5486951"/>
                    </a:xfrm>
                    <a:prstGeom prst="rect">
                      <a:avLst/>
                    </a:prstGeom>
                    <a:noFill/>
                  </pic:spPr>
                </pic:pic>
              </a:graphicData>
            </a:graphic>
            <wp14:sizeRelH relativeFrom="margin">
              <wp14:pctWidth>0</wp14:pctWidth>
            </wp14:sizeRelH>
            <wp14:sizeRelV relativeFrom="margin">
              <wp14:pctHeight>0</wp14:pctHeight>
            </wp14:sizeRelV>
          </wp:anchor>
        </w:drawing>
      </w:r>
      <w:r w:rsidR="00705A1C" w:rsidRPr="00705A1C">
        <w:rPr>
          <w:lang w:val="en-GB"/>
        </w:rPr>
        <w:t>Figure 4</w:t>
      </w:r>
      <w:bookmarkEnd w:id="40"/>
      <w:r w:rsidR="00705A1C" w:rsidRPr="00705A1C">
        <w:rPr>
          <w:lang w:val="en-GB"/>
        </w:rPr>
        <w:t xml:space="preserve">: </w:t>
      </w:r>
      <w:r w:rsidR="00803A73" w:rsidRPr="00705A1C">
        <w:rPr>
          <w:lang w:val="en-GB"/>
        </w:rPr>
        <w:t xml:space="preserve">Key Steps </w:t>
      </w:r>
      <w:r w:rsidR="00705A1C" w:rsidRPr="00705A1C">
        <w:rPr>
          <w:lang w:val="en-GB"/>
        </w:rPr>
        <w:t xml:space="preserve">required when developing cyber risk management programme </w:t>
      </w:r>
    </w:p>
    <w:p w14:paraId="43AE6E8B" w14:textId="5C71F3A8" w:rsidR="00BF4365" w:rsidRPr="00BF4365" w:rsidRDefault="00BF4365" w:rsidP="00A36A05">
      <w:pPr>
        <w:pStyle w:val="Heading4"/>
        <w:numPr>
          <w:ilvl w:val="0"/>
          <w:numId w:val="13"/>
        </w:numPr>
        <w:rPr>
          <w:lang w:val="en-GB"/>
        </w:rPr>
      </w:pPr>
      <w:r w:rsidRPr="00BF4365">
        <w:rPr>
          <w:lang w:val="en-GB"/>
        </w:rPr>
        <w:t>Scope</w:t>
      </w:r>
    </w:p>
    <w:p w14:paraId="7584CFB1" w14:textId="56291FD4" w:rsidR="00BF4365" w:rsidRPr="00BF4365" w:rsidRDefault="00BF4365" w:rsidP="00BF4365">
      <w:pPr>
        <w:spacing w:after="0"/>
        <w:rPr>
          <w:b/>
          <w:bCs/>
          <w:lang w:val="en-GB"/>
        </w:rPr>
      </w:pPr>
      <w:r w:rsidRPr="00BF4365">
        <w:rPr>
          <w:b/>
          <w:bCs/>
          <w:lang w:val="en-GB"/>
        </w:rPr>
        <w:t xml:space="preserve">Step 1: Criticality assessment </w:t>
      </w:r>
    </w:p>
    <w:p w14:paraId="0320BB15" w14:textId="77777777" w:rsidR="00BF4365" w:rsidRPr="00BF4365" w:rsidRDefault="00BF4365" w:rsidP="00BF4365">
      <w:pPr>
        <w:rPr>
          <w:lang w:val="en-GB"/>
        </w:rPr>
      </w:pPr>
      <w:r w:rsidRPr="00BF4365">
        <w:rPr>
          <w:lang w:val="en-GB"/>
        </w:rPr>
        <w:t>Identify the most important components for providing essential services (including the workforce and goods and services provided by third parties).</w:t>
      </w:r>
    </w:p>
    <w:p w14:paraId="6B801FDD" w14:textId="0DA71B15" w:rsidR="00BF4365" w:rsidRPr="00BF4365" w:rsidRDefault="00BF4365" w:rsidP="00A36A05">
      <w:pPr>
        <w:pStyle w:val="Heading4"/>
        <w:numPr>
          <w:ilvl w:val="0"/>
          <w:numId w:val="13"/>
        </w:numPr>
        <w:rPr>
          <w:lang w:val="en-GB"/>
        </w:rPr>
      </w:pPr>
      <w:r w:rsidRPr="00BF4365">
        <w:rPr>
          <w:lang w:val="en-GB"/>
        </w:rPr>
        <w:t xml:space="preserve">Understand </w:t>
      </w:r>
    </w:p>
    <w:p w14:paraId="6FF2CB0F" w14:textId="6D0EBF62" w:rsidR="00BF4365" w:rsidRPr="00BF4365" w:rsidRDefault="00BF4365" w:rsidP="00BF4365">
      <w:pPr>
        <w:spacing w:after="0"/>
        <w:rPr>
          <w:b/>
          <w:bCs/>
          <w:lang w:val="en-GB"/>
        </w:rPr>
      </w:pPr>
      <w:r w:rsidRPr="00BF4365">
        <w:rPr>
          <w:b/>
          <w:bCs/>
          <w:lang w:val="en-GB"/>
        </w:rPr>
        <w:t xml:space="preserve">Step 2: Risk identification, exposure and vulnerability </w:t>
      </w:r>
    </w:p>
    <w:p w14:paraId="5064E6E6" w14:textId="77777777" w:rsidR="00BF4365" w:rsidRPr="00BF4365" w:rsidRDefault="00BF4365" w:rsidP="00BF4365">
      <w:pPr>
        <w:rPr>
          <w:lang w:val="en-GB"/>
        </w:rPr>
      </w:pPr>
      <w:r w:rsidRPr="00BF4365">
        <w:rPr>
          <w:lang w:val="en-GB"/>
        </w:rPr>
        <w:t>Assess material risks that could affect critical components.</w:t>
      </w:r>
    </w:p>
    <w:p w14:paraId="398F6966" w14:textId="539771BC" w:rsidR="00BF4365" w:rsidRPr="00BF4365" w:rsidRDefault="00BF4365" w:rsidP="00A36A05">
      <w:pPr>
        <w:pStyle w:val="Heading4"/>
        <w:numPr>
          <w:ilvl w:val="0"/>
          <w:numId w:val="13"/>
        </w:numPr>
        <w:rPr>
          <w:lang w:val="en-GB"/>
        </w:rPr>
      </w:pPr>
      <w:r w:rsidRPr="00BF4365">
        <w:rPr>
          <w:lang w:val="en-GB"/>
        </w:rPr>
        <w:t xml:space="preserve">Evaluate </w:t>
      </w:r>
    </w:p>
    <w:p w14:paraId="070B567A" w14:textId="12DE0EAC" w:rsidR="00BF4365" w:rsidRPr="00BF4365" w:rsidRDefault="00BF4365" w:rsidP="00BF4365">
      <w:pPr>
        <w:spacing w:after="0"/>
        <w:rPr>
          <w:b/>
          <w:bCs/>
          <w:lang w:val="en-GB"/>
        </w:rPr>
      </w:pPr>
      <w:r w:rsidRPr="00BF4365">
        <w:rPr>
          <w:b/>
          <w:bCs/>
          <w:lang w:val="en-GB"/>
        </w:rPr>
        <w:t xml:space="preserve">Step 3: Impact assessment </w:t>
      </w:r>
    </w:p>
    <w:p w14:paraId="59012F01" w14:textId="77777777" w:rsidR="00BF4365" w:rsidRPr="00BF4365" w:rsidRDefault="00BF4365" w:rsidP="00BF4365">
      <w:pPr>
        <w:rPr>
          <w:lang w:val="en-GB"/>
        </w:rPr>
      </w:pPr>
      <w:r w:rsidRPr="00BF4365">
        <w:rPr>
          <w:lang w:val="en-GB"/>
        </w:rPr>
        <w:t>Evaluate the impact material risks will likely have on critical components (including impact on value chains and supply chains).</w:t>
      </w:r>
    </w:p>
    <w:p w14:paraId="330EF9CB" w14:textId="51764796" w:rsidR="00BF4365" w:rsidRPr="00BF4365" w:rsidRDefault="00BF4365" w:rsidP="00A36A05">
      <w:pPr>
        <w:pStyle w:val="Heading4"/>
        <w:numPr>
          <w:ilvl w:val="0"/>
          <w:numId w:val="13"/>
        </w:numPr>
        <w:rPr>
          <w:lang w:val="en-GB"/>
        </w:rPr>
      </w:pPr>
      <w:r w:rsidRPr="00BF4365">
        <w:rPr>
          <w:lang w:val="en-GB"/>
        </w:rPr>
        <w:t>Treat</w:t>
      </w:r>
    </w:p>
    <w:p w14:paraId="4D9C6D1C" w14:textId="1F3FCEEF" w:rsidR="00BF4365" w:rsidRPr="00BF4365" w:rsidRDefault="00BF4365" w:rsidP="00BF4365">
      <w:pPr>
        <w:spacing w:after="0"/>
        <w:rPr>
          <w:b/>
          <w:bCs/>
          <w:lang w:val="en-GB"/>
        </w:rPr>
      </w:pPr>
      <w:r w:rsidRPr="00BF4365">
        <w:rPr>
          <w:b/>
          <w:bCs/>
          <w:lang w:val="en-GB"/>
        </w:rPr>
        <w:t xml:space="preserve">Step 4: Risk treatment, incident planning and investment </w:t>
      </w:r>
    </w:p>
    <w:p w14:paraId="0512A457" w14:textId="77777777" w:rsidR="00BF4365" w:rsidRPr="00BF4365" w:rsidRDefault="00BF4365" w:rsidP="00BF4365">
      <w:pPr>
        <w:rPr>
          <w:lang w:val="en-GB"/>
        </w:rPr>
      </w:pPr>
      <w:r w:rsidRPr="00BF4365">
        <w:rPr>
          <w:lang w:val="en-GB"/>
        </w:rPr>
        <w:t xml:space="preserve">Develop and implement specific actions to reduce risk and enhance security. </w:t>
      </w:r>
    </w:p>
    <w:p w14:paraId="610E9A36" w14:textId="5BB14ADB" w:rsidR="00BF4365" w:rsidRPr="00BF4365" w:rsidRDefault="00BF4365" w:rsidP="00A36A05">
      <w:pPr>
        <w:pStyle w:val="Heading4"/>
        <w:numPr>
          <w:ilvl w:val="0"/>
          <w:numId w:val="13"/>
        </w:numPr>
        <w:rPr>
          <w:lang w:val="en-GB"/>
        </w:rPr>
      </w:pPr>
      <w:r w:rsidRPr="00BF4365">
        <w:rPr>
          <w:lang w:val="en-GB"/>
        </w:rPr>
        <w:t xml:space="preserve">Monitor </w:t>
      </w:r>
    </w:p>
    <w:p w14:paraId="7329A8D3" w14:textId="798AA000" w:rsidR="00BF4365" w:rsidRPr="00BF4365" w:rsidRDefault="00BF4365" w:rsidP="00BF4365">
      <w:pPr>
        <w:spacing w:after="0"/>
        <w:rPr>
          <w:b/>
          <w:bCs/>
          <w:lang w:val="en-GB"/>
        </w:rPr>
      </w:pPr>
      <w:r w:rsidRPr="00BF4365">
        <w:rPr>
          <w:b/>
          <w:bCs/>
          <w:lang w:val="en-GB"/>
        </w:rPr>
        <w:t>Step 5: Monitor, evaluate and report</w:t>
      </w:r>
    </w:p>
    <w:p w14:paraId="33EC574D" w14:textId="203E92A0" w:rsidR="00705A1C" w:rsidRPr="00705A1C" w:rsidRDefault="00BF4365" w:rsidP="00BF4365">
      <w:pPr>
        <w:rPr>
          <w:lang w:val="en-GB"/>
        </w:rPr>
      </w:pPr>
      <w:r w:rsidRPr="00BF4365">
        <w:rPr>
          <w:lang w:val="en-GB"/>
        </w:rPr>
        <w:t>Review and report on the effectiveness of risk reduction actions to confirm compliance and inform the risk management programme’s next cycle.</w:t>
      </w:r>
    </w:p>
    <w:p w14:paraId="0CDE0569" w14:textId="77777777" w:rsidR="00705A1C" w:rsidRPr="00705A1C" w:rsidRDefault="00705A1C" w:rsidP="00705A1C">
      <w:pPr>
        <w:suppressAutoHyphens w:val="0"/>
        <w:autoSpaceDE/>
        <w:autoSpaceDN/>
        <w:adjustRightInd/>
        <w:spacing w:after="60" w:line="276" w:lineRule="auto"/>
        <w:textAlignment w:val="auto"/>
        <w:rPr>
          <w:rFonts w:eastAsia="Aptos"/>
          <w:color w:val="191919"/>
          <w:spacing w:val="-1"/>
          <w:sz w:val="18"/>
          <w:szCs w:val="18"/>
        </w:rPr>
      </w:pPr>
    </w:p>
    <w:bookmarkEnd w:id="39"/>
    <w:p w14:paraId="29069AD1" w14:textId="77777777" w:rsidR="00DD7BDC" w:rsidRDefault="00DD7BDC">
      <w:pPr>
        <w:suppressAutoHyphens w:val="0"/>
        <w:autoSpaceDE/>
        <w:autoSpaceDN/>
        <w:adjustRightInd/>
        <w:spacing w:after="160" w:line="259" w:lineRule="auto"/>
        <w:textAlignment w:val="auto"/>
        <w:rPr>
          <w:rFonts w:eastAsia="Aptos"/>
          <w:b/>
          <w:color w:val="474E67"/>
          <w:sz w:val="22"/>
          <w:szCs w:val="14"/>
          <w:lang w:val="en-GB"/>
        </w:rPr>
      </w:pPr>
      <w:r>
        <w:rPr>
          <w:rFonts w:eastAsia="Aptos"/>
          <w:b/>
          <w:color w:val="474E67"/>
          <w:sz w:val="22"/>
          <w:szCs w:val="14"/>
          <w:lang w:val="en-GB"/>
        </w:rPr>
        <w:br w:type="page"/>
      </w:r>
    </w:p>
    <w:p w14:paraId="3C8237DB" w14:textId="476C83BC" w:rsidR="00705A1C" w:rsidRPr="00705A1C" w:rsidRDefault="00705A1C" w:rsidP="001F5958">
      <w:pPr>
        <w:pStyle w:val="Heading3"/>
        <w:rPr>
          <w:lang w:val="en-GB"/>
        </w:rPr>
      </w:pPr>
      <w:r w:rsidRPr="00705A1C">
        <w:rPr>
          <w:lang w:val="en-GB"/>
        </w:rPr>
        <w:lastRenderedPageBreak/>
        <w:t>Reporting compliance with minimum requirements</w:t>
      </w:r>
    </w:p>
    <w:p w14:paraId="6AA59490" w14:textId="77777777" w:rsidR="00705A1C" w:rsidRPr="00705A1C" w:rsidRDefault="00705A1C" w:rsidP="001F5958">
      <w:pPr>
        <w:rPr>
          <w:rFonts w:cs="Times New Roman"/>
          <w:lang w:val="en-GB"/>
        </w:rPr>
      </w:pPr>
      <w:r w:rsidRPr="00705A1C">
        <w:rPr>
          <w:lang w:val="en-GB"/>
        </w:rPr>
        <w:t xml:space="preserve">Directors of critical infrastructure entities (or equivalent) would be responsible for ensuring compliance with minimum requirements. Including cyber security as a core element of fiduciary duty for directors across New Zealand’s critical infrastructure system would help elevate board attention and investment in managing cyber risks. </w:t>
      </w:r>
    </w:p>
    <w:p w14:paraId="6D414781" w14:textId="77777777" w:rsidR="00705A1C" w:rsidRPr="00705A1C" w:rsidRDefault="00705A1C" w:rsidP="001F5958">
      <w:pPr>
        <w:rPr>
          <w:lang w:val="en-GB"/>
        </w:rPr>
      </w:pPr>
      <w:r w:rsidRPr="00705A1C">
        <w:rPr>
          <w:lang w:val="en-GB"/>
        </w:rPr>
        <w:t xml:space="preserve">Regulations would be used to confirm reporting requirements, and these would likely strengthen over time. Initially, responsible entities could be required to attest to their compliance with minimum requirements (i.e. sign a formal declaration that the requirements have been met). </w:t>
      </w:r>
    </w:p>
    <w:p w14:paraId="7C610EFB" w14:textId="77777777" w:rsidR="00705A1C" w:rsidRPr="00705A1C" w:rsidRDefault="00705A1C" w:rsidP="001F5958">
      <w:pPr>
        <w:rPr>
          <w:lang w:val="en-GB"/>
        </w:rPr>
      </w:pPr>
      <w:r w:rsidRPr="00705A1C">
        <w:rPr>
          <w:lang w:val="en-GB"/>
        </w:rPr>
        <w:t>After a period of the regime being in force, responsible entities would likely be required to complete a short report documenting how requirements have been met. This would provide the government with more information to assess whether requirements are having the intended impact, including whether any related guidance needs to be adjusted or attention given to managing certain risks.</w:t>
      </w:r>
    </w:p>
    <w:p w14:paraId="4A76DD16" w14:textId="77777777" w:rsidR="00705A1C" w:rsidRDefault="00705A1C" w:rsidP="001F5958">
      <w:pPr>
        <w:rPr>
          <w:lang w:val="en-GB"/>
        </w:rPr>
      </w:pPr>
      <w:r w:rsidRPr="00705A1C">
        <w:rPr>
          <w:lang w:val="en-GB"/>
        </w:rPr>
        <w:t>While the government could require responsible entities to obtain a third</w:t>
      </w:r>
      <w:r w:rsidRPr="00705A1C">
        <w:rPr>
          <w:lang w:val="en-GB"/>
        </w:rPr>
        <w:noBreakHyphen/>
        <w:t>party audit to demonstrate compliance, this is unlikely in the medium term due to the significant cost for critical infrastructure entities and the market’s limited capacity and capability to support this type of audit.</w:t>
      </w:r>
    </w:p>
    <w:p w14:paraId="3DBED819" w14:textId="6692F612" w:rsidR="00705A1C" w:rsidRPr="00705A1C" w:rsidRDefault="00705A1C" w:rsidP="001F5958">
      <w:pPr>
        <w:pStyle w:val="Heading3"/>
        <w:rPr>
          <w:lang w:val="en-GB"/>
        </w:rPr>
      </w:pPr>
      <w:bookmarkStart w:id="41" w:name="_Toc197012749"/>
      <w:bookmarkStart w:id="42" w:name="_Toc197356505"/>
      <w:bookmarkStart w:id="43" w:name="_Toc197537747"/>
      <w:bookmarkStart w:id="44" w:name="_Toc197604251"/>
      <w:bookmarkStart w:id="45" w:name="_Toc197707134"/>
      <w:bookmarkStart w:id="46" w:name="_Toc198204251"/>
      <w:r w:rsidRPr="00705A1C">
        <w:rPr>
          <w:lang w:val="en-GB"/>
        </w:rPr>
        <w:t xml:space="preserve">Accounting for compliance with other regulatory </w:t>
      </w:r>
      <w:bookmarkEnd w:id="41"/>
      <w:bookmarkEnd w:id="42"/>
      <w:bookmarkEnd w:id="43"/>
      <w:bookmarkEnd w:id="44"/>
      <w:bookmarkEnd w:id="45"/>
      <w:bookmarkEnd w:id="46"/>
      <w:r w:rsidRPr="00705A1C">
        <w:rPr>
          <w:lang w:val="en-GB"/>
        </w:rPr>
        <w:t>regimes</w:t>
      </w:r>
    </w:p>
    <w:p w14:paraId="5D74FF76" w14:textId="77777777" w:rsidR="00705A1C" w:rsidRPr="00705A1C" w:rsidRDefault="00705A1C" w:rsidP="001F5958">
      <w:pPr>
        <w:rPr>
          <w:shd w:val="clear" w:color="auto" w:fill="EEF3FB"/>
          <w:lang w:val="en-GB"/>
        </w:rPr>
      </w:pPr>
      <w:r w:rsidRPr="00705A1C">
        <w:rPr>
          <w:lang w:val="en-GB"/>
        </w:rPr>
        <w:t>Many critical infrastructure entities already manage cyber risks, whether to address the recommendations of the NCSC, to meet sector</w:t>
      </w:r>
      <w:r w:rsidRPr="00705A1C">
        <w:rPr>
          <w:lang w:val="en-GB"/>
        </w:rPr>
        <w:noBreakHyphen/>
        <w:t xml:space="preserve">based guidelines or requirements, to satisfy prudent governance, or for commercial reasons. </w:t>
      </w:r>
    </w:p>
    <w:p w14:paraId="6C793D89" w14:textId="77777777" w:rsidR="00705A1C" w:rsidRPr="00705A1C" w:rsidRDefault="00705A1C" w:rsidP="001F5958">
      <w:pPr>
        <w:rPr>
          <w:lang w:val="en-GB"/>
        </w:rPr>
      </w:pPr>
      <w:r w:rsidRPr="00705A1C">
        <w:rPr>
          <w:lang w:val="en-GB"/>
        </w:rPr>
        <w:t xml:space="preserve">The existence of good practice, including compliance with any current or future regulations, would not exempt a critical infrastructure entity from the obligation to comply with, and report on, minimum requirements. It could, however, affect what additional activities an entity would need to take </w:t>
      </w:r>
      <w:proofErr w:type="gramStart"/>
      <w:r w:rsidRPr="00705A1C">
        <w:rPr>
          <w:lang w:val="en-GB"/>
        </w:rPr>
        <w:t>in order to</w:t>
      </w:r>
      <w:proofErr w:type="gramEnd"/>
      <w:r w:rsidRPr="00705A1C">
        <w:rPr>
          <w:lang w:val="en-GB"/>
        </w:rPr>
        <w:t xml:space="preserve"> comply. </w:t>
      </w:r>
    </w:p>
    <w:p w14:paraId="023AB1A6" w14:textId="77777777" w:rsidR="00705A1C" w:rsidRPr="00705A1C" w:rsidRDefault="00705A1C" w:rsidP="001F5958">
      <w:pPr>
        <w:rPr>
          <w:lang w:val="en-GB"/>
        </w:rPr>
      </w:pPr>
      <w:r w:rsidRPr="00705A1C">
        <w:rPr>
          <w:lang w:val="en-GB"/>
        </w:rPr>
        <w:t xml:space="preserve">In this way, minimum requirements are designed to fill gaps rather than </w:t>
      </w:r>
      <w:proofErr w:type="gramStart"/>
      <w:r w:rsidRPr="00705A1C">
        <w:rPr>
          <w:lang w:val="en-GB"/>
        </w:rPr>
        <w:t>duplicate, and</w:t>
      </w:r>
      <w:proofErr w:type="gramEnd"/>
      <w:r w:rsidRPr="00705A1C">
        <w:rPr>
          <w:lang w:val="en-GB"/>
        </w:rPr>
        <w:t xml:space="preserve"> allow for sector</w:t>
      </w:r>
      <w:r w:rsidRPr="00705A1C">
        <w:rPr>
          <w:lang w:val="en-GB"/>
        </w:rPr>
        <w:noBreakHyphen/>
        <w:t>based requirements to evolve as the stewards of those systems see fit over time.</w:t>
      </w:r>
    </w:p>
    <w:p w14:paraId="20BDF0F8" w14:textId="77777777" w:rsidR="00705A1C" w:rsidRPr="001F5958" w:rsidRDefault="00705A1C" w:rsidP="001F5958">
      <w:pPr>
        <w:keepNext/>
        <w:keepLines/>
      </w:pPr>
      <w:r w:rsidRPr="00705A1C">
        <w:rPr>
          <w:lang w:val="en-GB"/>
        </w:rPr>
        <w:lastRenderedPageBreak/>
        <w:t>If a set of responsible entities were managing cyber security to the level required as part of complying with sector</w:t>
      </w:r>
      <w:r w:rsidRPr="00705A1C">
        <w:rPr>
          <w:lang w:val="en-GB"/>
        </w:rPr>
        <w:noBreakHyphen/>
        <w:t xml:space="preserve">based regulations, the critical infrastructure regulator(s) would be empowered to issue a determination noting that all relevant </w:t>
      </w:r>
      <w:r w:rsidRPr="001F5958">
        <w:t>entities are managing cyber risk to the level required. However, this is expected to be rare, at least initially.</w:t>
      </w:r>
    </w:p>
    <w:p w14:paraId="31D20E66" w14:textId="74166EC3" w:rsidR="00705A1C" w:rsidRPr="001F5958" w:rsidRDefault="00705A1C" w:rsidP="001F5958">
      <w:r w:rsidRPr="001F5958">
        <w:t>Wherever an entity is meeting the requirements through adherence to sector</w:t>
      </w:r>
      <w:r w:rsidRPr="001F5958">
        <w:noBreakHyphen/>
        <w:t>based regulations, the relevant sector regulator would remain responsible for monitoring compliance. If requirements were not met, this would breach the requirements of both regimes. Details on how this would be managed in a way that avoids double jeopardy is provided on page </w:t>
      </w:r>
      <w:r w:rsidR="00364FFC">
        <w:t>3</w:t>
      </w:r>
      <w:r w:rsidRPr="001F5958">
        <w:t>9.</w:t>
      </w:r>
    </w:p>
    <w:p w14:paraId="627F214A" w14:textId="77777777" w:rsidR="00705A1C" w:rsidRPr="001F5958" w:rsidRDefault="00705A1C" w:rsidP="001F5958">
      <w:r w:rsidRPr="001F5958">
        <w:t>For entities subject to price</w:t>
      </w:r>
      <w:r w:rsidRPr="001F5958">
        <w:noBreakHyphen/>
        <w:t>quality regulation by the Commerce Commission, any investments required to comply with minimum requirements could be able to be offset with additional revenue.</w:t>
      </w:r>
    </w:p>
    <w:p w14:paraId="422D039A" w14:textId="77777777" w:rsidR="00705A1C" w:rsidRPr="00705A1C" w:rsidRDefault="00705A1C" w:rsidP="001F5958">
      <w:pPr>
        <w:pStyle w:val="Heading3"/>
        <w:rPr>
          <w:lang w:val="en-GB"/>
        </w:rPr>
      </w:pPr>
      <w:bookmarkStart w:id="47" w:name="_Hlk201588439"/>
      <w:r w:rsidRPr="00705A1C">
        <w:rPr>
          <w:lang w:val="en-GB"/>
        </w:rPr>
        <w:t>Enhanced minimum requirements for critical infrastructure of national significance</w:t>
      </w:r>
    </w:p>
    <w:bookmarkEnd w:id="47"/>
    <w:p w14:paraId="53EFFE1D" w14:textId="77777777" w:rsidR="00705A1C" w:rsidRPr="00705A1C" w:rsidRDefault="00705A1C" w:rsidP="001F5958">
      <w:pPr>
        <w:rPr>
          <w:lang w:val="en-GB"/>
        </w:rPr>
      </w:pPr>
      <w:r w:rsidRPr="00705A1C">
        <w:rPr>
          <w:lang w:val="en-GB"/>
        </w:rPr>
        <w:t xml:space="preserve">Two elements of minimum requirements that could be enhanced for critical infrastructure of national significance are: </w:t>
      </w:r>
    </w:p>
    <w:p w14:paraId="38F49034" w14:textId="77777777" w:rsidR="00705A1C" w:rsidRPr="00705A1C" w:rsidRDefault="00705A1C" w:rsidP="001F5958">
      <w:pPr>
        <w:pStyle w:val="Bullets0"/>
        <w:rPr>
          <w:lang w:val="en-GB"/>
        </w:rPr>
      </w:pPr>
      <w:r w:rsidRPr="00705A1C">
        <w:rPr>
          <w:lang w:val="en-GB"/>
        </w:rPr>
        <w:t>the risks to be treated and the level of treatment</w:t>
      </w:r>
    </w:p>
    <w:p w14:paraId="194CE36D" w14:textId="77777777" w:rsidR="00705A1C" w:rsidRPr="00705A1C" w:rsidRDefault="00705A1C" w:rsidP="001F5958">
      <w:pPr>
        <w:pStyle w:val="Bullets0"/>
        <w:rPr>
          <w:lang w:val="en-GB"/>
        </w:rPr>
      </w:pPr>
      <w:r w:rsidRPr="00705A1C">
        <w:rPr>
          <w:lang w:val="en-GB"/>
        </w:rPr>
        <w:t>the type of reporting required to demonstrate compliance.</w:t>
      </w:r>
    </w:p>
    <w:p w14:paraId="35BD797B" w14:textId="77777777" w:rsidR="00705A1C" w:rsidRPr="00705A1C" w:rsidRDefault="00705A1C" w:rsidP="001F5958">
      <w:pPr>
        <w:rPr>
          <w:lang w:val="en-GB"/>
        </w:rPr>
      </w:pPr>
      <w:r w:rsidRPr="00705A1C">
        <w:rPr>
          <w:lang w:val="en-GB"/>
        </w:rPr>
        <w:t xml:space="preserve">Minimum requirements would include the power to require critical infrastructure of national significance to take a specific action to manage a risk or set of risks to a particular level. This could include following an additional process such as complying with a particular cyber security framework or more prescriptive actions. </w:t>
      </w:r>
    </w:p>
    <w:p w14:paraId="40EA35F5" w14:textId="77777777" w:rsidR="00705A1C" w:rsidRPr="00705A1C" w:rsidRDefault="00705A1C" w:rsidP="001F5958">
      <w:pPr>
        <w:rPr>
          <w:lang w:val="en-GB"/>
        </w:rPr>
      </w:pPr>
      <w:r w:rsidRPr="00705A1C">
        <w:rPr>
          <w:lang w:val="en-GB"/>
        </w:rPr>
        <w:t>Reporting requirements could be enhanced for critical infrastructure of national significance more quickly than for other responsible entities (e.g. moving from attestation to a short report more quickly than other critical infrastructure entities).</w:t>
      </w:r>
    </w:p>
    <w:p w14:paraId="7424BC69" w14:textId="77777777" w:rsidR="00705A1C" w:rsidRPr="00705A1C" w:rsidRDefault="00705A1C" w:rsidP="001F5958">
      <w:pPr>
        <w:rPr>
          <w:lang w:val="en-GB"/>
        </w:rPr>
      </w:pPr>
      <w:proofErr w:type="gramStart"/>
      <w:r w:rsidRPr="00705A1C">
        <w:rPr>
          <w:lang w:val="en-GB"/>
        </w:rPr>
        <w:t>Both of these</w:t>
      </w:r>
      <w:proofErr w:type="gramEnd"/>
      <w:r w:rsidRPr="00705A1C">
        <w:rPr>
          <w:lang w:val="en-GB"/>
        </w:rPr>
        <w:t xml:space="preserve"> approaches to calibrating minimum cyber security requirements for critical infrastructure of national significance reflects the importance of these assets to New Zealand and would only be used where the risks faced outweigh the additional costs of compliance.</w:t>
      </w:r>
    </w:p>
    <w:p w14:paraId="73B4E7D1" w14:textId="77777777" w:rsidR="00DD7BDC" w:rsidRDefault="00DD7BDC" w:rsidP="001F5958">
      <w:pPr>
        <w:rPr>
          <w:b/>
          <w:color w:val="474E67"/>
          <w:sz w:val="42"/>
          <w:szCs w:val="42"/>
          <w:lang w:val="en-GB"/>
        </w:rPr>
      </w:pPr>
      <w:r>
        <w:rPr>
          <w:b/>
          <w:color w:val="474E67"/>
          <w:sz w:val="42"/>
          <w:szCs w:val="42"/>
          <w:lang w:val="en-GB"/>
        </w:rPr>
        <w:br w:type="page"/>
      </w:r>
    </w:p>
    <w:p w14:paraId="4B277ABD" w14:textId="3C35B6DC" w:rsidR="00705A1C" w:rsidRPr="00705A1C" w:rsidRDefault="00705A1C" w:rsidP="008827B1">
      <w:pPr>
        <w:pStyle w:val="Heading2"/>
      </w:pPr>
      <w:r w:rsidRPr="00705A1C">
        <w:lastRenderedPageBreak/>
        <w:t>Ensuring effective management of cyber threats impacting national security</w:t>
      </w:r>
    </w:p>
    <w:p w14:paraId="449C7AD4" w14:textId="77777777" w:rsidR="00705A1C" w:rsidRPr="008827B1" w:rsidRDefault="00705A1C" w:rsidP="001D4E8F">
      <w:pPr>
        <w:pStyle w:val="Introduction"/>
      </w:pPr>
      <w:r w:rsidRPr="008827B1">
        <w:t xml:space="preserve">Critical infrastructure entities could be better supported to remediate, recover and learn from cyber incidents and cybercrime. </w:t>
      </w:r>
    </w:p>
    <w:p w14:paraId="4220EC82" w14:textId="77777777" w:rsidR="00705A1C" w:rsidRPr="008827B1" w:rsidRDefault="00705A1C" w:rsidP="008827B1">
      <w:r w:rsidRPr="008827B1">
        <w:t xml:space="preserve">It is not realistic or proportionate to expect critical infrastructure entities to manage all cyber threats on their own, particularly if they are of such severity as to pose a significant threat to national security. New government powers would help ensure rapid and decisive action to protect critical infrastructure. This recognises that: </w:t>
      </w:r>
    </w:p>
    <w:p w14:paraId="041E1ABC" w14:textId="77777777" w:rsidR="00705A1C" w:rsidRPr="008827B1" w:rsidRDefault="00705A1C" w:rsidP="008827B1">
      <w:pPr>
        <w:pStyle w:val="Bullets0"/>
      </w:pPr>
      <w:r w:rsidRPr="008827B1">
        <w:t>the government’s access to classified information and specialist capabilities put it in a unique position to understand national security threats and support entities to manage them</w:t>
      </w:r>
    </w:p>
    <w:p w14:paraId="11F45A2B" w14:textId="77777777" w:rsidR="00705A1C" w:rsidRPr="008827B1" w:rsidRDefault="00705A1C" w:rsidP="008827B1">
      <w:pPr>
        <w:pStyle w:val="Bullets0"/>
      </w:pPr>
      <w:r w:rsidRPr="008827B1">
        <w:t>state</w:t>
      </w:r>
      <w:r w:rsidRPr="008827B1">
        <w:noBreakHyphen/>
        <w:t xml:space="preserve">sponsored threat actors have much greater ability and incentive to invest in exploiting one vulnerability than any potential target could invest to reduce </w:t>
      </w:r>
      <w:proofErr w:type="gramStart"/>
      <w:r w:rsidRPr="008827B1">
        <w:t>all of</w:t>
      </w:r>
      <w:proofErr w:type="gramEnd"/>
      <w:r w:rsidRPr="008827B1">
        <w:t xml:space="preserve"> its vulnerabilities</w:t>
      </w:r>
    </w:p>
    <w:p w14:paraId="6633DC1D" w14:textId="77777777" w:rsidR="00705A1C" w:rsidRPr="008827B1" w:rsidRDefault="00705A1C" w:rsidP="008827B1">
      <w:pPr>
        <w:pStyle w:val="Bullets0"/>
      </w:pPr>
      <w:r w:rsidRPr="008827B1">
        <w:t>even where an entity could manage a cyber threat, there may be statutory or contractual requirements that serve as a barrier to them doing so (e.g. contracts with a third</w:t>
      </w:r>
      <w:r w:rsidRPr="008827B1">
        <w:noBreakHyphen/>
        <w:t>party provider).</w:t>
      </w:r>
    </w:p>
    <w:p w14:paraId="6E904316" w14:textId="33F35874" w:rsidR="00705A1C" w:rsidRPr="00705A1C" w:rsidRDefault="00705A1C" w:rsidP="008827B1">
      <w:pPr>
        <w:rPr>
          <w:lang w:val="en-GB" w:eastAsia="en-NZ"/>
        </w:rPr>
      </w:pPr>
      <w:r w:rsidRPr="00705A1C">
        <w:rPr>
          <w:lang w:val="en-GB" w:eastAsia="en-NZ"/>
        </w:rPr>
        <w:t>The executive power proposed would improve the government’s ability to help critical infrastructure entities respond effectively to significant cyber threats or incidents. Compliance with the power would be mandatory.</w:t>
      </w:r>
    </w:p>
    <w:p w14:paraId="2F6A9B2E" w14:textId="6B278FEA" w:rsidR="008827B1" w:rsidRDefault="00705A1C" w:rsidP="008827B1">
      <w:pPr>
        <w:rPr>
          <w:lang w:val="en-GB" w:eastAsia="en-NZ"/>
        </w:rPr>
      </w:pPr>
      <w:r w:rsidRPr="00705A1C">
        <w:rPr>
          <w:lang w:val="en-GB" w:eastAsia="en-NZ"/>
        </w:rPr>
        <w:t xml:space="preserve">The power </w:t>
      </w:r>
      <w:r w:rsidRPr="00705A1C">
        <w:rPr>
          <w:rFonts w:cs="Times New Roman"/>
          <w:lang w:val="en-GB"/>
        </w:rPr>
        <w:t xml:space="preserve">would only be </w:t>
      </w:r>
      <w:r w:rsidRPr="00705A1C">
        <w:rPr>
          <w:rFonts w:cs="Aptos"/>
          <w:lang w:val="en-GB"/>
        </w:rPr>
        <w:t>exercised</w:t>
      </w:r>
      <w:r w:rsidRPr="00705A1C">
        <w:rPr>
          <w:rFonts w:cs="Times New Roman"/>
          <w:lang w:val="en-GB"/>
        </w:rPr>
        <w:t xml:space="preserve"> as a last resort for national security reasons. </w:t>
      </w:r>
      <w:r w:rsidRPr="00705A1C">
        <w:rPr>
          <w:lang w:val="en-GB" w:eastAsia="en-NZ"/>
        </w:rPr>
        <w:t>There would be no ability for entities to seek damages or financial compensation for any reasonable costs incurred as part of compliance.</w:t>
      </w:r>
    </w:p>
    <w:p w14:paraId="67C8F346" w14:textId="77777777" w:rsidR="008827B1" w:rsidRDefault="008827B1">
      <w:pPr>
        <w:suppressAutoHyphens w:val="0"/>
        <w:autoSpaceDE/>
        <w:autoSpaceDN/>
        <w:adjustRightInd/>
        <w:spacing w:after="160" w:line="259" w:lineRule="auto"/>
        <w:textAlignment w:val="auto"/>
        <w:rPr>
          <w:lang w:val="en-GB" w:eastAsia="en-NZ"/>
        </w:rPr>
      </w:pPr>
      <w:r>
        <w:rPr>
          <w:lang w:val="en-GB" w:eastAsia="en-NZ"/>
        </w:rPr>
        <w:br w:type="page"/>
      </w:r>
    </w:p>
    <w:tbl>
      <w:tblPr>
        <w:tblStyle w:val="TableGrid"/>
        <w:tblpPr w:leftFromText="180" w:rightFromText="180" w:vertAnchor="text" w:tblpY="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720"/>
      </w:tblGrid>
      <w:tr w:rsidR="008827B1" w14:paraId="1D819A38" w14:textId="77777777" w:rsidTr="008827B1">
        <w:tc>
          <w:tcPr>
            <w:tcW w:w="8720" w:type="dxa"/>
            <w:shd w:val="clear" w:color="auto" w:fill="F2F2F2" w:themeFill="background1" w:themeFillShade="F2"/>
          </w:tcPr>
          <w:p w14:paraId="5088756F" w14:textId="21B850CB" w:rsidR="008827B1" w:rsidRPr="008827B1" w:rsidRDefault="008827B1" w:rsidP="008827B1">
            <w:pPr>
              <w:pStyle w:val="BoxHead1"/>
              <w:framePr w:hSpace="0" w:wrap="auto" w:vAnchor="margin" w:hAnchor="text" w:yAlign="inline"/>
            </w:pPr>
            <w:r w:rsidRPr="008827B1">
              <w:lastRenderedPageBreak/>
              <w:t>Measure 6: A power to direct the management of cyber threats for national security reasons</w:t>
            </w:r>
          </w:p>
          <w:p w14:paraId="1E0E167E" w14:textId="77777777" w:rsidR="008827B1" w:rsidRDefault="008827B1" w:rsidP="008827B1">
            <w:pPr>
              <w:pStyle w:val="BoxBody"/>
              <w:rPr>
                <w:lang w:val="en-GB" w:eastAsia="en-NZ"/>
              </w:rPr>
            </w:pPr>
            <w:r w:rsidRPr="008827B1">
              <w:rPr>
                <w:lang w:val="en-GB" w:eastAsia="en-NZ"/>
              </w:rPr>
              <w:t>Measure 6 would grant the Minister responsible the power to direct a critical infrastructure entity to do, or refrain from doing, anything necessary to manage a cyber threat for national security reasons. A direction would specify the period within which this must occur.</w:t>
            </w:r>
          </w:p>
        </w:tc>
      </w:tr>
    </w:tbl>
    <w:p w14:paraId="35383EB5" w14:textId="77777777" w:rsidR="008827B1" w:rsidRDefault="008827B1" w:rsidP="008827B1">
      <w:pPr>
        <w:spacing w:after="0"/>
        <w:rPr>
          <w:lang w:val="en-GB"/>
        </w:rPr>
      </w:pPr>
    </w:p>
    <w:p w14:paraId="6E2EAB2C" w14:textId="569BE1F4" w:rsidR="00705A1C" w:rsidRPr="00705A1C" w:rsidRDefault="00705A1C" w:rsidP="008827B1">
      <w:pPr>
        <w:rPr>
          <w:lang w:val="en-GB"/>
        </w:rPr>
      </w:pPr>
      <w:r w:rsidRPr="00705A1C">
        <w:rPr>
          <w:lang w:val="en-GB"/>
        </w:rPr>
        <w:t xml:space="preserve">Direction under the power could include, for example, requiring </w:t>
      </w:r>
      <w:r w:rsidRPr="00705A1C">
        <w:rPr>
          <w:lang w:val="en-GB" w:eastAsia="en-NZ"/>
        </w:rPr>
        <w:t xml:space="preserve">critical infrastructure entities to accept support from the NCSC to help resolve cyber incidents that are a threat to national security. </w:t>
      </w:r>
    </w:p>
    <w:p w14:paraId="0F69B17F" w14:textId="77777777" w:rsidR="00705A1C" w:rsidRPr="00705A1C" w:rsidRDefault="00705A1C" w:rsidP="008827B1">
      <w:pPr>
        <w:rPr>
          <w:lang w:val="en-GB"/>
        </w:rPr>
      </w:pPr>
      <w:r w:rsidRPr="00705A1C">
        <w:rPr>
          <w:lang w:val="en-GB"/>
        </w:rPr>
        <w:t xml:space="preserve">Entities subject to the power would have the following legal and </w:t>
      </w:r>
      <w:r w:rsidRPr="00705A1C">
        <w:rPr>
          <w:rFonts w:cs="Times New Roman"/>
          <w:lang w:val="en-GB"/>
        </w:rPr>
        <w:t>natural</w:t>
      </w:r>
      <w:r w:rsidRPr="00705A1C">
        <w:rPr>
          <w:lang w:val="en-GB"/>
        </w:rPr>
        <w:t xml:space="preserve"> justice protections available of:</w:t>
      </w:r>
    </w:p>
    <w:p w14:paraId="64CB0803" w14:textId="77777777" w:rsidR="00705A1C" w:rsidRPr="00705A1C" w:rsidRDefault="00705A1C" w:rsidP="008827B1">
      <w:pPr>
        <w:pStyle w:val="Bullets0"/>
        <w:rPr>
          <w:lang w:val="en-GB"/>
        </w:rPr>
      </w:pPr>
      <w:r w:rsidRPr="00705A1C">
        <w:rPr>
          <w:lang w:val="en-GB"/>
        </w:rPr>
        <w:t>the ability to appeal to the Minister</w:t>
      </w:r>
    </w:p>
    <w:p w14:paraId="5BFF41BD" w14:textId="77777777" w:rsidR="00705A1C" w:rsidRPr="00705A1C" w:rsidRDefault="00705A1C" w:rsidP="008827B1">
      <w:pPr>
        <w:pStyle w:val="Bullets0"/>
        <w:rPr>
          <w:lang w:val="en-GB"/>
        </w:rPr>
      </w:pPr>
      <w:r w:rsidRPr="00705A1C">
        <w:rPr>
          <w:lang w:val="en-GB"/>
        </w:rPr>
        <w:t>a right to statutory review</w:t>
      </w:r>
    </w:p>
    <w:p w14:paraId="6A89EA04" w14:textId="77777777" w:rsidR="00705A1C" w:rsidRPr="00705A1C" w:rsidRDefault="00705A1C" w:rsidP="008827B1">
      <w:pPr>
        <w:pStyle w:val="Bullets0"/>
        <w:rPr>
          <w:lang w:val="en-GB"/>
        </w:rPr>
      </w:pPr>
      <w:r w:rsidRPr="00705A1C">
        <w:rPr>
          <w:lang w:val="en-GB"/>
        </w:rPr>
        <w:t>indemnity against legal liability</w:t>
      </w:r>
    </w:p>
    <w:p w14:paraId="47E38D0B" w14:textId="4EC3BE8D" w:rsidR="003B6903" w:rsidRDefault="00705A1C" w:rsidP="008827B1">
      <w:pPr>
        <w:pStyle w:val="Bullets0"/>
        <w:rPr>
          <w:lang w:val="en-GB"/>
        </w:rPr>
      </w:pPr>
      <w:r w:rsidRPr="00705A1C">
        <w:rPr>
          <w:lang w:val="en-GB"/>
        </w:rPr>
        <w:t>limits on the acquisition of property.</w:t>
      </w:r>
    </w:p>
    <w:p w14:paraId="467213B8" w14:textId="77777777" w:rsidR="003B6903" w:rsidRDefault="003B6903">
      <w:pPr>
        <w:suppressAutoHyphens w:val="0"/>
        <w:autoSpaceDE/>
        <w:autoSpaceDN/>
        <w:adjustRightInd/>
        <w:spacing w:after="160" w:line="259" w:lineRule="auto"/>
        <w:textAlignment w:val="auto"/>
        <w:rPr>
          <w:lang w:val="en-GB"/>
        </w:rPr>
      </w:pPr>
      <w:r>
        <w:rPr>
          <w:lang w:val="en-GB"/>
        </w:rPr>
        <w:br w:type="page"/>
      </w:r>
    </w:p>
    <w:tbl>
      <w:tblPr>
        <w:tblStyle w:val="TableGrid"/>
        <w:tblpPr w:leftFromText="180" w:rightFromText="180" w:vertAnchor="page" w:horzAnchor="margin" w:tblpY="22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720"/>
      </w:tblGrid>
      <w:tr w:rsidR="003B6903" w14:paraId="7E633805" w14:textId="77777777" w:rsidTr="00AC7C47">
        <w:tc>
          <w:tcPr>
            <w:tcW w:w="8720" w:type="dxa"/>
            <w:shd w:val="clear" w:color="auto" w:fill="F2F2F2" w:themeFill="background1" w:themeFillShade="F2"/>
          </w:tcPr>
          <w:p w14:paraId="3462B766" w14:textId="77777777" w:rsidR="003B6903" w:rsidRPr="003B6903" w:rsidRDefault="003B6903" w:rsidP="00AC7C47">
            <w:pPr>
              <w:pStyle w:val="BoxHead1"/>
              <w:framePr w:hSpace="0" w:wrap="auto" w:vAnchor="margin" w:hAnchor="text" w:yAlign="inline"/>
            </w:pPr>
            <w:r w:rsidRPr="003B6903">
              <w:lastRenderedPageBreak/>
              <w:t xml:space="preserve">Protections around the use of government powers </w:t>
            </w:r>
          </w:p>
          <w:p w14:paraId="4A229846" w14:textId="77777777" w:rsidR="003B6903" w:rsidRPr="00AC7C47" w:rsidRDefault="003B6903" w:rsidP="00AC7C47">
            <w:pPr>
              <w:pStyle w:val="BoxBody"/>
              <w:rPr>
                <w:spacing w:val="-2"/>
                <w:lang w:val="en-GB"/>
              </w:rPr>
            </w:pPr>
            <w:r w:rsidRPr="00AC7C47">
              <w:rPr>
                <w:spacing w:val="-2"/>
                <w:lang w:val="en-GB"/>
              </w:rPr>
              <w:t xml:space="preserve">Reflecting the significance of the proposed power, the Minister responsible could only use it to support the management of threats to critical </w:t>
            </w:r>
            <w:r w:rsidRPr="00AC7C47">
              <w:rPr>
                <w:spacing w:val="-2"/>
              </w:rPr>
              <w:t>infrastructure</w:t>
            </w:r>
            <w:r w:rsidRPr="00AC7C47">
              <w:rPr>
                <w:spacing w:val="-2"/>
                <w:lang w:val="en-GB"/>
              </w:rPr>
              <w:t xml:space="preserve"> entities (rather than threats to all essential services). The Minister responsible would also need to be satisfied that:</w:t>
            </w:r>
          </w:p>
          <w:p w14:paraId="2C389590" w14:textId="77777777" w:rsidR="003B6903" w:rsidRPr="003B6903" w:rsidRDefault="003B6903" w:rsidP="00AC7C47">
            <w:pPr>
              <w:pStyle w:val="BoxBullet"/>
              <w:rPr>
                <w:lang w:val="en-GB"/>
              </w:rPr>
            </w:pPr>
            <w:r w:rsidRPr="003B6903">
              <w:rPr>
                <w:lang w:val="en-GB"/>
              </w:rPr>
              <w:t>the national security threat is significant</w:t>
            </w:r>
          </w:p>
          <w:p w14:paraId="11CE90E1" w14:textId="77777777" w:rsidR="003B6903" w:rsidRPr="003B6903" w:rsidRDefault="003B6903" w:rsidP="00AC7C47">
            <w:pPr>
              <w:pStyle w:val="BoxBullet"/>
              <w:rPr>
                <w:lang w:val="en-GB"/>
              </w:rPr>
            </w:pPr>
            <w:r w:rsidRPr="003B6903">
              <w:rPr>
                <w:lang w:val="en-GB"/>
              </w:rPr>
              <w:t>adequate and good-faith consultation with the relevant entity or entities has occurred</w:t>
            </w:r>
          </w:p>
          <w:p w14:paraId="3C98B9DE" w14:textId="77777777" w:rsidR="003B6903" w:rsidRPr="003B6903" w:rsidRDefault="003B6903" w:rsidP="00AC7C47">
            <w:pPr>
              <w:pStyle w:val="BoxBullet"/>
              <w:rPr>
                <w:lang w:val="en-GB"/>
              </w:rPr>
            </w:pPr>
            <w:r w:rsidRPr="003B6903">
              <w:rPr>
                <w:lang w:val="en-GB"/>
              </w:rPr>
              <w:t>the proposed action to manage the threat is proportionate, reasonably necessary and has a reasonable likelihood of success</w:t>
            </w:r>
          </w:p>
          <w:p w14:paraId="4A1F40FB" w14:textId="77777777" w:rsidR="003B6903" w:rsidRPr="003B6903" w:rsidRDefault="003B6903" w:rsidP="00AC7C47">
            <w:pPr>
              <w:pStyle w:val="BoxBullet"/>
              <w:rPr>
                <w:lang w:val="en-GB"/>
              </w:rPr>
            </w:pPr>
            <w:r w:rsidRPr="003B6903">
              <w:rPr>
                <w:lang w:val="en-GB"/>
              </w:rPr>
              <w:t>there is no alternative to the proposed action that would satisfactorily address the national security threat.</w:t>
            </w:r>
          </w:p>
          <w:p w14:paraId="2C0CB407" w14:textId="77777777" w:rsidR="003B6903" w:rsidRDefault="003B6903" w:rsidP="00AC7C47">
            <w:pPr>
              <w:pStyle w:val="BoxBody"/>
              <w:rPr>
                <w:lang w:val="en-GB"/>
              </w:rPr>
            </w:pPr>
            <w:r w:rsidRPr="003B6903">
              <w:rPr>
                <w:lang w:val="en-GB"/>
              </w:rPr>
              <w:t>Once the incident has been resolved, a summary of the measures taken and rationale for invoking the power would be published unless there were reasonable grounds to withhold this information under the Official Information Act 1982.</w:t>
            </w:r>
          </w:p>
        </w:tc>
      </w:tr>
    </w:tbl>
    <w:p w14:paraId="14377A60" w14:textId="3F6EF6AF" w:rsidR="003B6903" w:rsidRDefault="003B6903">
      <w:pPr>
        <w:suppressAutoHyphens w:val="0"/>
        <w:autoSpaceDE/>
        <w:autoSpaceDN/>
        <w:adjustRightInd/>
        <w:spacing w:after="160" w:line="259" w:lineRule="auto"/>
        <w:textAlignment w:val="auto"/>
        <w:rPr>
          <w:rFonts w:eastAsiaTheme="minorEastAsia"/>
          <w:lang w:val="en-GB" w:eastAsia="ko-KR"/>
        </w:rPr>
      </w:pPr>
    </w:p>
    <w:p w14:paraId="492E23E3" w14:textId="77777777" w:rsidR="00DD7BDC" w:rsidRDefault="00DD7BDC" w:rsidP="00705A1C">
      <w:pPr>
        <w:suppressAutoHyphens w:val="0"/>
        <w:autoSpaceDE/>
        <w:autoSpaceDN/>
        <w:adjustRightInd/>
        <w:spacing w:before="360" w:after="400" w:line="276" w:lineRule="auto"/>
        <w:textAlignment w:val="auto"/>
        <w:rPr>
          <w:rFonts w:eastAsia="Aptos"/>
          <w:color w:val="191919"/>
          <w:sz w:val="18"/>
          <w:szCs w:val="18"/>
          <w:lang w:val="en-GB"/>
        </w:rPr>
      </w:pPr>
      <w:bookmarkStart w:id="48" w:name="_Toc172040173"/>
      <w:bookmarkStart w:id="49" w:name="_Toc197012757"/>
      <w:bookmarkStart w:id="50" w:name="_Toc197356513"/>
      <w:bookmarkStart w:id="51" w:name="_Toc197537758"/>
      <w:bookmarkStart w:id="52" w:name="_Toc197604262"/>
      <w:bookmarkStart w:id="53" w:name="_Toc197707145"/>
      <w:bookmarkStart w:id="54" w:name="_Toc198204262"/>
    </w:p>
    <w:p w14:paraId="13E9CE94" w14:textId="77777777" w:rsidR="00DD7BDC" w:rsidRDefault="00DD7BDC">
      <w:pPr>
        <w:suppressAutoHyphens w:val="0"/>
        <w:autoSpaceDE/>
        <w:autoSpaceDN/>
        <w:adjustRightInd/>
        <w:spacing w:after="160" w:line="259" w:lineRule="auto"/>
        <w:textAlignment w:val="auto"/>
        <w:rPr>
          <w:rFonts w:eastAsia="Aptos"/>
          <w:color w:val="191919"/>
          <w:sz w:val="18"/>
          <w:szCs w:val="18"/>
          <w:lang w:val="en-GB"/>
        </w:rPr>
      </w:pPr>
      <w:r>
        <w:rPr>
          <w:rFonts w:eastAsia="Aptos"/>
          <w:color w:val="191919"/>
          <w:sz w:val="18"/>
          <w:szCs w:val="18"/>
          <w:lang w:val="en-GB"/>
        </w:rPr>
        <w:br w:type="page"/>
      </w:r>
    </w:p>
    <w:p w14:paraId="2A9FFA3D" w14:textId="77777777" w:rsidR="001F5958" w:rsidRPr="001F5958" w:rsidRDefault="001F5958" w:rsidP="001F5958">
      <w:pPr>
        <w:pStyle w:val="Heading1"/>
      </w:pPr>
      <w:r w:rsidRPr="001F5958">
        <w:rPr>
          <w:b w:val="0"/>
          <w:bCs/>
        </w:rPr>
        <w:lastRenderedPageBreak/>
        <w:t>Section 3:</w:t>
      </w:r>
      <w:r w:rsidRPr="001F5958">
        <w:t xml:space="preserve"> Ensuring mandatory requirements improve the cyber security of the critical infrastructure system</w:t>
      </w:r>
    </w:p>
    <w:p w14:paraId="23812865" w14:textId="2595FE04" w:rsidR="00705A1C" w:rsidRPr="00705A1C" w:rsidRDefault="00705A1C" w:rsidP="001F5958">
      <w:pPr>
        <w:pStyle w:val="Introduction"/>
      </w:pPr>
      <w:r w:rsidRPr="00705A1C">
        <w:t xml:space="preserve">Compliance is key to delivering an uplift in the cyber security of New Zealand’s critical infrastructure system. </w:t>
      </w:r>
      <w:bookmarkEnd w:id="48"/>
      <w:bookmarkEnd w:id="49"/>
      <w:bookmarkEnd w:id="50"/>
      <w:bookmarkEnd w:id="51"/>
      <w:bookmarkEnd w:id="52"/>
      <w:bookmarkEnd w:id="53"/>
      <w:bookmarkEnd w:id="54"/>
      <w:r w:rsidRPr="00705A1C">
        <w:t>The proposed approach combines efforts to promote voluntary compliance with a range of tools for addressing non</w:t>
      </w:r>
      <w:r w:rsidRPr="00705A1C">
        <w:noBreakHyphen/>
        <w:t>compliance.</w:t>
      </w:r>
    </w:p>
    <w:p w14:paraId="2CF7655D" w14:textId="77777777" w:rsidR="00705A1C" w:rsidRPr="00705A1C" w:rsidRDefault="00705A1C" w:rsidP="001F5958">
      <w:pPr>
        <w:rPr>
          <w:rFonts w:cs="Arial"/>
          <w:lang w:val="en-GB"/>
        </w:rPr>
      </w:pPr>
      <w:r w:rsidRPr="00705A1C">
        <w:rPr>
          <w:lang w:val="en-GB"/>
        </w:rPr>
        <w:t>The proposed approach to compliance would aim to provide the</w:t>
      </w:r>
      <w:r w:rsidRPr="00705A1C">
        <w:rPr>
          <w:rFonts w:cs="Arial"/>
          <w:lang w:val="en-GB"/>
        </w:rPr>
        <w:t xml:space="preserve"> </w:t>
      </w:r>
      <w:r w:rsidRPr="00705A1C">
        <w:rPr>
          <w:lang w:val="en-GB"/>
        </w:rPr>
        <w:t xml:space="preserve">critical infrastructure </w:t>
      </w:r>
      <w:r w:rsidRPr="00705A1C">
        <w:rPr>
          <w:rFonts w:cs="Arial"/>
          <w:lang w:val="en-GB"/>
        </w:rPr>
        <w:t>regulator(s) with mechanisms for:</w:t>
      </w:r>
    </w:p>
    <w:p w14:paraId="29F85CE1" w14:textId="77777777" w:rsidR="00705A1C" w:rsidRPr="00705A1C" w:rsidRDefault="00705A1C" w:rsidP="001F5958">
      <w:pPr>
        <w:pStyle w:val="Bullets0"/>
        <w:rPr>
          <w:lang w:val="en-GB"/>
        </w:rPr>
      </w:pPr>
      <w:r w:rsidRPr="00705A1C">
        <w:rPr>
          <w:b/>
          <w:bCs/>
          <w:lang w:val="en-GB"/>
        </w:rPr>
        <w:t>monitoring and supervision</w:t>
      </w:r>
      <w:r w:rsidRPr="00705A1C">
        <w:rPr>
          <w:lang w:val="en-GB"/>
        </w:rPr>
        <w:t xml:space="preserve"> such as regular reporting, inspections and performance assessments</w:t>
      </w:r>
    </w:p>
    <w:p w14:paraId="380FF124" w14:textId="070287F7" w:rsidR="00705A1C" w:rsidRPr="00705A1C" w:rsidRDefault="00705A1C" w:rsidP="001F5958">
      <w:pPr>
        <w:pStyle w:val="Bullets0"/>
        <w:rPr>
          <w:lang w:val="en-GB"/>
        </w:rPr>
      </w:pPr>
      <w:r w:rsidRPr="00705A1C">
        <w:rPr>
          <w:b/>
          <w:bCs/>
          <w:lang w:val="en-GB"/>
        </w:rPr>
        <w:t>compliance and enforcement</w:t>
      </w:r>
      <w:r w:rsidRPr="00705A1C">
        <w:rPr>
          <w:lang w:val="en-GB"/>
        </w:rPr>
        <w:t>, which would range from awareness</w:t>
      </w:r>
      <w:r w:rsidRPr="00705A1C">
        <w:rPr>
          <w:lang w:val="en-GB"/>
        </w:rPr>
        <w:noBreakHyphen/>
        <w:t>raising and education in the first instance to fines, enforceable undertakings and civil and criminal penalties for non</w:t>
      </w:r>
      <w:r w:rsidRPr="00705A1C">
        <w:rPr>
          <w:lang w:val="en-GB"/>
        </w:rPr>
        <w:noBreakHyphen/>
        <w:t xml:space="preserve">conformance. </w:t>
      </w:r>
    </w:p>
    <w:p w14:paraId="56A2BDE8" w14:textId="77777777" w:rsidR="00705A1C" w:rsidRPr="00705A1C" w:rsidRDefault="00705A1C" w:rsidP="001F5958">
      <w:pPr>
        <w:rPr>
          <w:lang w:val="en-GB"/>
        </w:rPr>
      </w:pPr>
      <w:r w:rsidRPr="00705A1C">
        <w:rPr>
          <w:lang w:val="en-GB"/>
        </w:rPr>
        <w:t>These mechanisms would be:</w:t>
      </w:r>
    </w:p>
    <w:p w14:paraId="3C5C403A" w14:textId="77777777" w:rsidR="00705A1C" w:rsidRPr="00705A1C" w:rsidRDefault="00705A1C" w:rsidP="001F5958">
      <w:pPr>
        <w:pStyle w:val="Bullets0"/>
        <w:rPr>
          <w:lang w:val="en-GB"/>
        </w:rPr>
      </w:pPr>
      <w:r w:rsidRPr="00705A1C">
        <w:rPr>
          <w:lang w:val="en-GB"/>
        </w:rPr>
        <w:t>fair, consistent and proportionate to the severity of the breach and degree of harm caused</w:t>
      </w:r>
    </w:p>
    <w:p w14:paraId="3A18CDD5" w14:textId="77777777" w:rsidR="00705A1C" w:rsidRPr="00705A1C" w:rsidRDefault="00705A1C" w:rsidP="001F5958">
      <w:pPr>
        <w:pStyle w:val="Bullets0"/>
        <w:rPr>
          <w:lang w:val="en-GB"/>
        </w:rPr>
      </w:pPr>
      <w:r w:rsidRPr="00705A1C">
        <w:rPr>
          <w:lang w:val="en-GB"/>
        </w:rPr>
        <w:t xml:space="preserve">efficient and as simple as possible to administer </w:t>
      </w:r>
    </w:p>
    <w:p w14:paraId="649D3945" w14:textId="77777777" w:rsidR="00705A1C" w:rsidRPr="00705A1C" w:rsidRDefault="00705A1C" w:rsidP="001F5958">
      <w:pPr>
        <w:pStyle w:val="Bullets0"/>
        <w:rPr>
          <w:lang w:val="en-GB"/>
        </w:rPr>
      </w:pPr>
      <w:r w:rsidRPr="00705A1C">
        <w:rPr>
          <w:lang w:val="en-GB"/>
        </w:rPr>
        <w:t>easy to understand.</w:t>
      </w:r>
    </w:p>
    <w:p w14:paraId="44776769" w14:textId="77777777" w:rsidR="00FF2596" w:rsidRDefault="00FF2596">
      <w:pPr>
        <w:suppressAutoHyphens w:val="0"/>
        <w:autoSpaceDE/>
        <w:autoSpaceDN/>
        <w:adjustRightInd/>
        <w:spacing w:after="160" w:line="259" w:lineRule="auto"/>
        <w:textAlignment w:val="auto"/>
        <w:rPr>
          <w:b/>
          <w:bCs/>
          <w:color w:val="474E67"/>
          <w:sz w:val="28"/>
          <w:szCs w:val="28"/>
        </w:rPr>
      </w:pPr>
      <w:r>
        <w:br w:type="page"/>
      </w:r>
    </w:p>
    <w:p w14:paraId="7EAB048C" w14:textId="54971E6F" w:rsidR="00705A1C" w:rsidRPr="00705A1C" w:rsidRDefault="00705A1C" w:rsidP="001F5958">
      <w:pPr>
        <w:pStyle w:val="Heading3"/>
      </w:pPr>
      <w:r w:rsidRPr="00705A1C">
        <w:lastRenderedPageBreak/>
        <w:t>Ensuring a proportionate approach to compliance</w:t>
      </w:r>
    </w:p>
    <w:p w14:paraId="01DA7210" w14:textId="77777777" w:rsidR="00705A1C" w:rsidRPr="00705A1C" w:rsidRDefault="00705A1C" w:rsidP="00FF2596">
      <w:pPr>
        <w:rPr>
          <w:lang w:val="en-GB"/>
        </w:rPr>
      </w:pPr>
      <w:r w:rsidRPr="00705A1C">
        <w:rPr>
          <w:lang w:val="en-GB"/>
        </w:rPr>
        <w:t>The critical infrastructure regulator(s) would have access to a comprehensive suite of compliance and enforcement tools, including:</w:t>
      </w:r>
    </w:p>
    <w:p w14:paraId="34568563" w14:textId="77777777" w:rsidR="00705A1C" w:rsidRPr="00705A1C" w:rsidRDefault="00705A1C" w:rsidP="00FF2596">
      <w:pPr>
        <w:pStyle w:val="Bullets0"/>
        <w:rPr>
          <w:lang w:val="en-GB"/>
        </w:rPr>
      </w:pPr>
      <w:r w:rsidRPr="00705A1C">
        <w:rPr>
          <w:lang w:val="en-GB"/>
        </w:rPr>
        <w:t xml:space="preserve">compliance notices directing a breach be fixed within a specified </w:t>
      </w:r>
      <w:proofErr w:type="gramStart"/>
      <w:r w:rsidRPr="00705A1C">
        <w:rPr>
          <w:lang w:val="en-GB"/>
        </w:rPr>
        <w:t>time period</w:t>
      </w:r>
      <w:proofErr w:type="gramEnd"/>
    </w:p>
    <w:p w14:paraId="7647FBEF" w14:textId="77777777" w:rsidR="00705A1C" w:rsidRPr="00705A1C" w:rsidRDefault="00705A1C" w:rsidP="00FF2596">
      <w:pPr>
        <w:pStyle w:val="Bullets0"/>
        <w:rPr>
          <w:lang w:val="en-GB"/>
        </w:rPr>
      </w:pPr>
      <w:r w:rsidRPr="00705A1C">
        <w:rPr>
          <w:lang w:val="en-GB"/>
        </w:rPr>
        <w:t>legally binding agreements (enforceable undertakings) between the regulator and a non</w:t>
      </w:r>
      <w:r w:rsidRPr="00705A1C">
        <w:rPr>
          <w:lang w:val="en-GB"/>
        </w:rPr>
        <w:noBreakHyphen/>
        <w:t>compliant party that the regulator would not prosecute or apply a penalty if the non</w:t>
      </w:r>
      <w:r w:rsidRPr="00705A1C">
        <w:rPr>
          <w:lang w:val="en-GB"/>
        </w:rPr>
        <w:noBreakHyphen/>
        <w:t>compliant party agrees to certain actions</w:t>
      </w:r>
    </w:p>
    <w:p w14:paraId="4298EFEB" w14:textId="77777777" w:rsidR="00705A1C" w:rsidRPr="00705A1C" w:rsidRDefault="00705A1C" w:rsidP="00FF2596">
      <w:pPr>
        <w:pStyle w:val="Bullets0"/>
        <w:rPr>
          <w:lang w:val="en-GB"/>
        </w:rPr>
      </w:pPr>
      <w:r w:rsidRPr="00705A1C">
        <w:rPr>
          <w:lang w:val="en-GB"/>
        </w:rPr>
        <w:t>non</w:t>
      </w:r>
      <w:r w:rsidRPr="00705A1C">
        <w:rPr>
          <w:lang w:val="en-GB"/>
        </w:rPr>
        <w:noBreakHyphen/>
        <w:t>criminal monetary penalties imposed by the courts</w:t>
      </w:r>
    </w:p>
    <w:p w14:paraId="0038DA06" w14:textId="77777777" w:rsidR="00705A1C" w:rsidRPr="00705A1C" w:rsidRDefault="00705A1C" w:rsidP="00FF2596">
      <w:pPr>
        <w:pStyle w:val="Bullets0"/>
        <w:rPr>
          <w:lang w:val="en-GB"/>
        </w:rPr>
      </w:pPr>
      <w:r w:rsidRPr="00705A1C">
        <w:rPr>
          <w:lang w:val="en-GB"/>
        </w:rPr>
        <w:t>criminal prosecution.</w:t>
      </w:r>
    </w:p>
    <w:p w14:paraId="2010CEE1" w14:textId="4D3F4F9E" w:rsidR="00705A1C" w:rsidRPr="00705A1C" w:rsidRDefault="00705A1C" w:rsidP="00FF2596">
      <w:pPr>
        <w:rPr>
          <w:rFonts w:cs="Arial"/>
          <w:lang w:val="en-GB"/>
        </w:rPr>
      </w:pPr>
      <w:r w:rsidRPr="00705A1C">
        <w:rPr>
          <w:lang w:val="en-GB"/>
        </w:rPr>
        <w:t xml:space="preserve">Table 1 on page </w:t>
      </w:r>
      <w:r w:rsidR="00364FFC">
        <w:rPr>
          <w:lang w:val="en-GB"/>
        </w:rPr>
        <w:t>41</w:t>
      </w:r>
      <w:r w:rsidRPr="00705A1C">
        <w:rPr>
          <w:lang w:val="en-GB"/>
        </w:rPr>
        <w:t xml:space="preserve"> provides examples of how potential breaches could be matched with compliance tools. </w:t>
      </w:r>
      <w:r w:rsidRPr="00705A1C">
        <w:rPr>
          <w:rFonts w:cs="Arial"/>
          <w:lang w:val="en-GB"/>
        </w:rPr>
        <w:t>In some instances, tools could be combined where necessary to ensure compliance. Use of deterrent and punishment measures would be carefully calibrated to the nature of the breach – with more severe breaches matched with stronger compliance tools.</w:t>
      </w:r>
    </w:p>
    <w:p w14:paraId="3FDD5825" w14:textId="77777777" w:rsidR="00705A1C" w:rsidRPr="00705A1C" w:rsidRDefault="00705A1C" w:rsidP="00FF2596">
      <w:pPr>
        <w:rPr>
          <w:lang w:val="en-GB"/>
        </w:rPr>
      </w:pPr>
      <w:r w:rsidRPr="00705A1C">
        <w:rPr>
          <w:lang w:val="en-GB"/>
        </w:rPr>
        <w:t>Entities and individuals would not be held responsible for offences where the contravention:</w:t>
      </w:r>
    </w:p>
    <w:p w14:paraId="298B5377" w14:textId="77777777" w:rsidR="00705A1C" w:rsidRPr="00705A1C" w:rsidRDefault="00705A1C" w:rsidP="00FF2596">
      <w:pPr>
        <w:pStyle w:val="Bullets0"/>
        <w:rPr>
          <w:lang w:val="en-GB"/>
        </w:rPr>
      </w:pPr>
      <w:r w:rsidRPr="00705A1C">
        <w:rPr>
          <w:lang w:val="en-GB"/>
        </w:rPr>
        <w:t>was necessary to save or protect life or health or prevent serious damage to property</w:t>
      </w:r>
    </w:p>
    <w:p w14:paraId="610DD5C5" w14:textId="77777777" w:rsidR="00705A1C" w:rsidRPr="00705A1C" w:rsidRDefault="00705A1C" w:rsidP="00FF2596">
      <w:pPr>
        <w:pStyle w:val="Bullets0"/>
        <w:rPr>
          <w:lang w:val="en-GB"/>
        </w:rPr>
      </w:pPr>
      <w:r w:rsidRPr="00705A1C">
        <w:rPr>
          <w:lang w:val="en-GB"/>
        </w:rPr>
        <w:t xml:space="preserve">was beyond the person’s or entity’s control, could not reasonably have been foreseen, and steps could not reasonably have been taken to prevent it from occurring </w:t>
      </w:r>
    </w:p>
    <w:p w14:paraId="6ACEC2BA" w14:textId="77777777" w:rsidR="00705A1C" w:rsidRPr="00705A1C" w:rsidRDefault="00705A1C" w:rsidP="00FF2596">
      <w:pPr>
        <w:pStyle w:val="Bullets0"/>
        <w:rPr>
          <w:lang w:val="en-GB"/>
        </w:rPr>
      </w:pPr>
      <w:r w:rsidRPr="00705A1C">
        <w:rPr>
          <w:lang w:val="en-GB"/>
        </w:rPr>
        <w:t>was due to reasonable reliance on information supplied by another person, or</w:t>
      </w:r>
    </w:p>
    <w:p w14:paraId="19114372" w14:textId="77777777" w:rsidR="00705A1C" w:rsidRPr="00705A1C" w:rsidRDefault="00705A1C" w:rsidP="00FF2596">
      <w:pPr>
        <w:pStyle w:val="Bullets0"/>
        <w:rPr>
          <w:lang w:val="en-GB"/>
        </w:rPr>
      </w:pPr>
      <w:r w:rsidRPr="00705A1C">
        <w:rPr>
          <w:lang w:val="en-GB"/>
        </w:rPr>
        <w:t>was not known about by the person and they could not reasonably have known.</w:t>
      </w:r>
    </w:p>
    <w:p w14:paraId="46553937" w14:textId="77777777" w:rsidR="00705A1C" w:rsidRPr="00705A1C" w:rsidRDefault="00705A1C" w:rsidP="00FF2596">
      <w:pPr>
        <w:rPr>
          <w:spacing w:val="-1"/>
          <w:lang w:eastAsia="en-NZ"/>
        </w:rPr>
      </w:pPr>
      <w:bookmarkStart w:id="55" w:name="_Hlk222401166"/>
      <w:r w:rsidRPr="00705A1C">
        <w:rPr>
          <w:rFonts w:cs="Arial"/>
          <w:spacing w:val="-1"/>
        </w:rPr>
        <w:t>The responsible party would not be punished twice for breaching more than one regulatory regime. Where</w:t>
      </w:r>
      <w:r w:rsidRPr="00705A1C">
        <w:rPr>
          <w:spacing w:val="-1"/>
          <w:lang w:eastAsia="en-NZ"/>
        </w:rPr>
        <w:t xml:space="preserve"> a breach is punishable under multiple regulatory regimes, the more stringent of the two penalties would apply, unless otherwise mutually agreed by both regulators.</w:t>
      </w:r>
    </w:p>
    <w:bookmarkEnd w:id="55"/>
    <w:p w14:paraId="4E80D3CA" w14:textId="77777777" w:rsidR="00705A1C" w:rsidRPr="00705A1C" w:rsidRDefault="00705A1C" w:rsidP="00FF2596">
      <w:pPr>
        <w:pStyle w:val="Heading3"/>
        <w:rPr>
          <w:lang w:val="en-GB"/>
        </w:rPr>
      </w:pPr>
      <w:r w:rsidRPr="00705A1C">
        <w:rPr>
          <w:lang w:val="en-GB"/>
        </w:rPr>
        <w:lastRenderedPageBreak/>
        <w:t xml:space="preserve">A staged approach to compliance </w:t>
      </w:r>
    </w:p>
    <w:p w14:paraId="3F49B9EF" w14:textId="77777777" w:rsidR="00705A1C" w:rsidRPr="007E4B7A" w:rsidRDefault="00705A1C" w:rsidP="007E4B7A">
      <w:r w:rsidRPr="007E4B7A">
        <w:t xml:space="preserve">During the first few years of the regime’s operation, regulatory requirements would likely come into force in a phased manner, recognising the lift in skills and capability that would be required across the critical infrastructure system to achieve compliance. </w:t>
      </w:r>
    </w:p>
    <w:p w14:paraId="0A6EDF98" w14:textId="77777777" w:rsidR="00705A1C" w:rsidRPr="007E4B7A" w:rsidRDefault="00705A1C" w:rsidP="007E4B7A">
      <w:r w:rsidRPr="007E4B7A">
        <w:t>The approach to compliance would be staged – with a one</w:t>
      </w:r>
      <w:r w:rsidRPr="007E4B7A">
        <w:noBreakHyphen/>
        <w:t>year grace period between requirements coming into effect and any enforcement action being considered. During this period, there would be a focus on providing regulated entities with information, guidance materials and other support to make complying with legislated requirements as simple and clear as possible.</w:t>
      </w:r>
    </w:p>
    <w:p w14:paraId="3D10B7D8" w14:textId="77777777" w:rsidR="00FF2596" w:rsidRDefault="00FF2596" w:rsidP="009237B1">
      <w:pPr>
        <w:rPr>
          <w:rFonts w:cs="Arial"/>
          <w:kern w:val="2"/>
        </w:rPr>
      </w:pPr>
      <w:bookmarkStart w:id="56" w:name="_Ref197676501"/>
      <w:bookmarkStart w:id="57" w:name="_Hlk198142207"/>
      <w:r>
        <w:rPr>
          <w:rFonts w:cs="Arial"/>
          <w:kern w:val="2"/>
        </w:rPr>
        <w:br w:type="page"/>
      </w:r>
    </w:p>
    <w:p w14:paraId="25924176" w14:textId="0000C9A7" w:rsidR="00705A1C" w:rsidRPr="00705A1C" w:rsidRDefault="00705A1C" w:rsidP="00FF2596">
      <w:pPr>
        <w:pStyle w:val="Heading6"/>
        <w:rPr>
          <w:lang w:val="en-GB"/>
        </w:rPr>
      </w:pPr>
      <w:r w:rsidRPr="00705A1C">
        <w:rPr>
          <w:lang w:val="en-GB"/>
        </w:rPr>
        <w:lastRenderedPageBreak/>
        <w:t>Table 1</w:t>
      </w:r>
      <w:bookmarkEnd w:id="56"/>
      <w:r w:rsidRPr="00705A1C">
        <w:rPr>
          <w:lang w:val="en-GB"/>
        </w:rPr>
        <w:t xml:space="preserve">: Examples of breaches and compliance </w:t>
      </w:r>
      <w:bookmarkEnd w:id="57"/>
      <w:r w:rsidR="00FF2596" w:rsidRPr="00705A1C">
        <w:rPr>
          <w:lang w:val="en-GB"/>
        </w:rPr>
        <w:t>tools</w:t>
      </w:r>
    </w:p>
    <w:tbl>
      <w:tblPr>
        <w:tblStyle w:val="Simple"/>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831"/>
        <w:gridCol w:w="3907"/>
        <w:gridCol w:w="2992"/>
      </w:tblGrid>
      <w:tr w:rsidR="00A36A05" w:rsidRPr="00A36A05" w14:paraId="76A3FF82" w14:textId="77777777" w:rsidTr="00406149">
        <w:trPr>
          <w:tblHeader/>
        </w:trPr>
        <w:tc>
          <w:tcPr>
            <w:tcW w:w="2552" w:type="dxa"/>
            <w:tcBorders>
              <w:top w:val="nil"/>
              <w:bottom w:val="single" w:sz="4" w:space="0" w:color="auto"/>
            </w:tcBorders>
            <w:shd w:val="clear" w:color="auto" w:fill="F2F2F2" w:themeFill="background1" w:themeFillShade="F2"/>
          </w:tcPr>
          <w:p w14:paraId="76E619B7" w14:textId="1759DA30" w:rsidR="00705A1C" w:rsidRPr="00A36A05" w:rsidRDefault="007E4B7A" w:rsidP="0084313A">
            <w:pPr>
              <w:pStyle w:val="BoxBody"/>
              <w:spacing w:before="120" w:after="120"/>
              <w:ind w:left="0"/>
              <w:rPr>
                <w:rFonts w:ascii="Arial" w:eastAsia="Aptos" w:hAnsi="Arial" w:cs="Arial"/>
                <w:b/>
                <w:bCs/>
              </w:rPr>
            </w:pPr>
            <w:r w:rsidRPr="00A36A05">
              <w:rPr>
                <w:rFonts w:ascii="Arial" w:eastAsia="Aptos" w:hAnsi="Arial" w:cs="Arial"/>
                <w:b/>
                <w:bCs/>
              </w:rPr>
              <w:t>Category of breach</w:t>
            </w:r>
          </w:p>
        </w:tc>
        <w:tc>
          <w:tcPr>
            <w:tcW w:w="7371" w:type="dxa"/>
            <w:tcBorders>
              <w:top w:val="nil"/>
              <w:bottom w:val="single" w:sz="4" w:space="0" w:color="auto"/>
            </w:tcBorders>
            <w:shd w:val="clear" w:color="auto" w:fill="F2F2F2" w:themeFill="background1" w:themeFillShade="F2"/>
          </w:tcPr>
          <w:p w14:paraId="7475771D" w14:textId="37441ABB" w:rsidR="00705A1C" w:rsidRPr="00A36A05" w:rsidRDefault="007E4B7A" w:rsidP="0084313A">
            <w:pPr>
              <w:pStyle w:val="BoxBody"/>
              <w:spacing w:before="120" w:after="120"/>
              <w:ind w:left="0"/>
              <w:rPr>
                <w:rFonts w:ascii="Arial" w:eastAsia="Aptos" w:hAnsi="Arial" w:cs="Arial"/>
                <w:b/>
                <w:bCs/>
              </w:rPr>
            </w:pPr>
            <w:r w:rsidRPr="00A36A05">
              <w:rPr>
                <w:rFonts w:ascii="Arial" w:eastAsia="Aptos" w:hAnsi="Arial" w:cs="Arial"/>
                <w:b/>
                <w:bCs/>
              </w:rPr>
              <w:t>Example of breach</w:t>
            </w:r>
          </w:p>
        </w:tc>
        <w:tc>
          <w:tcPr>
            <w:tcW w:w="4751" w:type="dxa"/>
            <w:tcBorders>
              <w:top w:val="nil"/>
              <w:bottom w:val="single" w:sz="4" w:space="0" w:color="auto"/>
            </w:tcBorders>
            <w:shd w:val="clear" w:color="auto" w:fill="F2F2F2" w:themeFill="background1" w:themeFillShade="F2"/>
          </w:tcPr>
          <w:p w14:paraId="59679AA1" w14:textId="1C0CE780" w:rsidR="00705A1C" w:rsidRPr="00A36A05" w:rsidRDefault="007E4B7A" w:rsidP="0084313A">
            <w:pPr>
              <w:pStyle w:val="BoxBody"/>
              <w:spacing w:before="120" w:after="120"/>
              <w:ind w:left="0"/>
              <w:rPr>
                <w:rFonts w:ascii="Arial" w:eastAsia="Aptos" w:hAnsi="Arial" w:cs="Arial"/>
                <w:b/>
                <w:bCs/>
              </w:rPr>
            </w:pPr>
            <w:r w:rsidRPr="00A36A05">
              <w:rPr>
                <w:rFonts w:ascii="Arial" w:eastAsia="Aptos" w:hAnsi="Arial" w:cs="Arial"/>
                <w:b/>
                <w:bCs/>
              </w:rPr>
              <w:t>Example compliance tools</w:t>
            </w:r>
          </w:p>
        </w:tc>
      </w:tr>
      <w:tr w:rsidR="00705A1C" w:rsidRPr="007E4B7A" w14:paraId="063F0A1B" w14:textId="77777777" w:rsidTr="00406149">
        <w:tc>
          <w:tcPr>
            <w:tcW w:w="2552" w:type="dxa"/>
            <w:tcBorders>
              <w:top w:val="single" w:sz="4" w:space="0" w:color="auto"/>
              <w:bottom w:val="single" w:sz="4" w:space="0" w:color="auto"/>
            </w:tcBorders>
          </w:tcPr>
          <w:p w14:paraId="0C8E0315" w14:textId="77777777" w:rsidR="00705A1C" w:rsidRPr="00A36A05" w:rsidRDefault="00705A1C" w:rsidP="007E4B7A">
            <w:pPr>
              <w:pStyle w:val="BoxBody"/>
              <w:spacing w:before="60" w:after="60"/>
              <w:ind w:left="0" w:right="0"/>
              <w:rPr>
                <w:rFonts w:ascii="Arial" w:eastAsia="Aptos" w:hAnsi="Arial" w:cs="Arial"/>
                <w:b/>
                <w:bCs/>
              </w:rPr>
            </w:pPr>
            <w:r w:rsidRPr="00A36A05">
              <w:rPr>
                <w:rFonts w:ascii="Arial" w:eastAsia="Aptos" w:hAnsi="Arial" w:cs="Arial"/>
                <w:b/>
                <w:bCs/>
              </w:rPr>
              <w:t>Minor breach</w:t>
            </w:r>
          </w:p>
        </w:tc>
        <w:tc>
          <w:tcPr>
            <w:tcW w:w="7371" w:type="dxa"/>
            <w:tcBorders>
              <w:top w:val="single" w:sz="4" w:space="0" w:color="auto"/>
              <w:bottom w:val="single" w:sz="4" w:space="0" w:color="auto"/>
            </w:tcBorders>
          </w:tcPr>
          <w:p w14:paraId="3F1902FD"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Late or incomplete provision of information in accordance with an information-collection power or reporting on minimum cyber security requirements (strict liability, entity only).</w:t>
            </w:r>
          </w:p>
          <w:p w14:paraId="3D946CE4"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Late or incomplete sharing of required information with other critical infrastructure entities (strict liability, entity only).</w:t>
            </w:r>
          </w:p>
        </w:tc>
        <w:tc>
          <w:tcPr>
            <w:tcW w:w="4751" w:type="dxa"/>
            <w:tcBorders>
              <w:top w:val="single" w:sz="4" w:space="0" w:color="auto"/>
              <w:bottom w:val="single" w:sz="4" w:space="0" w:color="auto"/>
            </w:tcBorders>
          </w:tcPr>
          <w:p w14:paraId="02223D86"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Targeted education.</w:t>
            </w:r>
          </w:p>
          <w:p w14:paraId="769EF739"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 xml:space="preserve">Written warning. </w:t>
            </w:r>
          </w:p>
          <w:p w14:paraId="4B7F32BB"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Increased monitoring assessments.</w:t>
            </w:r>
          </w:p>
          <w:p w14:paraId="69CA056D"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Administrative fine of up to $50,000.</w:t>
            </w:r>
          </w:p>
        </w:tc>
      </w:tr>
      <w:tr w:rsidR="00705A1C" w:rsidRPr="007E4B7A" w14:paraId="01C856DC" w14:textId="77777777" w:rsidTr="00406149">
        <w:tc>
          <w:tcPr>
            <w:tcW w:w="2552" w:type="dxa"/>
            <w:tcBorders>
              <w:top w:val="single" w:sz="4" w:space="0" w:color="auto"/>
            </w:tcBorders>
          </w:tcPr>
          <w:p w14:paraId="3B7369AD" w14:textId="77777777" w:rsidR="00705A1C" w:rsidRPr="00A36A05" w:rsidRDefault="00705A1C" w:rsidP="007E4B7A">
            <w:pPr>
              <w:pStyle w:val="BoxBody"/>
              <w:spacing w:before="60" w:after="60"/>
              <w:ind w:left="0" w:right="0"/>
              <w:rPr>
                <w:rFonts w:ascii="Arial" w:eastAsia="Aptos" w:hAnsi="Arial" w:cs="Arial"/>
                <w:b/>
                <w:bCs/>
              </w:rPr>
            </w:pPr>
            <w:r w:rsidRPr="00A36A05">
              <w:rPr>
                <w:rFonts w:ascii="Arial" w:eastAsia="Aptos" w:hAnsi="Arial" w:cs="Arial"/>
                <w:b/>
                <w:bCs/>
              </w:rPr>
              <w:t>Minor to moderate breach</w:t>
            </w:r>
          </w:p>
        </w:tc>
        <w:tc>
          <w:tcPr>
            <w:tcW w:w="7371" w:type="dxa"/>
            <w:tcBorders>
              <w:top w:val="single" w:sz="4" w:space="0" w:color="auto"/>
            </w:tcBorders>
          </w:tcPr>
          <w:p w14:paraId="55A9F0B5"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Failure to provide information in accordance with an information-collection power (strict liability, entity only).</w:t>
            </w:r>
          </w:p>
          <w:p w14:paraId="738427F1"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Failure to share required information with other critical infrastructure entities (strict liability, entity only).</w:t>
            </w:r>
          </w:p>
        </w:tc>
        <w:tc>
          <w:tcPr>
            <w:tcW w:w="4751" w:type="dxa"/>
            <w:tcBorders>
              <w:top w:val="single" w:sz="4" w:space="0" w:color="auto"/>
            </w:tcBorders>
          </w:tcPr>
          <w:p w14:paraId="2FFD40BD"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Compliance notice or enforceable undertaking.</w:t>
            </w:r>
          </w:p>
          <w:p w14:paraId="21A953A0"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Increased monitoring assessment.</w:t>
            </w:r>
          </w:p>
          <w:p w14:paraId="77F9E71B"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Information request or inspection.</w:t>
            </w:r>
          </w:p>
          <w:p w14:paraId="4923E9AC"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Civil pecuniary penalty of up to $100,000.</w:t>
            </w:r>
          </w:p>
        </w:tc>
      </w:tr>
      <w:tr w:rsidR="00705A1C" w:rsidRPr="007E4B7A" w14:paraId="45E3AE98" w14:textId="77777777" w:rsidTr="005445AE">
        <w:tc>
          <w:tcPr>
            <w:tcW w:w="2552" w:type="dxa"/>
          </w:tcPr>
          <w:p w14:paraId="7DB8F48F" w14:textId="77777777" w:rsidR="00705A1C" w:rsidRPr="00A36A05" w:rsidRDefault="00705A1C" w:rsidP="007E4B7A">
            <w:pPr>
              <w:pStyle w:val="BoxBody"/>
              <w:spacing w:before="60" w:after="60"/>
              <w:ind w:left="0" w:right="0"/>
              <w:rPr>
                <w:rFonts w:ascii="Arial" w:eastAsia="Aptos" w:hAnsi="Arial" w:cs="Arial"/>
                <w:b/>
                <w:bCs/>
              </w:rPr>
            </w:pPr>
            <w:r w:rsidRPr="00A36A05">
              <w:rPr>
                <w:rFonts w:ascii="Arial" w:eastAsia="Aptos" w:hAnsi="Arial" w:cs="Arial"/>
                <w:b/>
                <w:bCs/>
              </w:rPr>
              <w:t>Moderate breach</w:t>
            </w:r>
          </w:p>
        </w:tc>
        <w:tc>
          <w:tcPr>
            <w:tcW w:w="7371" w:type="dxa"/>
          </w:tcPr>
          <w:p w14:paraId="3B8B0C76"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 xml:space="preserve">Failure to report on minimum cyber security requirements. </w:t>
            </w:r>
          </w:p>
          <w:p w14:paraId="6069D4AB"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Using or disclosing protected information without authorisation.</w:t>
            </w:r>
          </w:p>
          <w:p w14:paraId="5710A11A"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Failure to comply with a compliance notice or enforceable undertaking.</w:t>
            </w:r>
          </w:p>
        </w:tc>
        <w:tc>
          <w:tcPr>
            <w:tcW w:w="4751" w:type="dxa"/>
          </w:tcPr>
          <w:p w14:paraId="34013B63"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Compliance notice or enforceable undertaking.</w:t>
            </w:r>
          </w:p>
          <w:p w14:paraId="2E500FBF"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 xml:space="preserve">Civil pecuniary penalty of up to $200,000. </w:t>
            </w:r>
          </w:p>
          <w:p w14:paraId="5078D080"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Aggravating factors of negligently, recklessly or knowingly breaching requirements would be considered in determining penalty quantum.</w:t>
            </w:r>
          </w:p>
        </w:tc>
      </w:tr>
      <w:tr w:rsidR="00705A1C" w:rsidRPr="007E4B7A" w14:paraId="36B0985B" w14:textId="77777777" w:rsidTr="007642BF">
        <w:tc>
          <w:tcPr>
            <w:tcW w:w="2552" w:type="dxa"/>
            <w:tcBorders>
              <w:bottom w:val="single" w:sz="4" w:space="0" w:color="auto"/>
            </w:tcBorders>
          </w:tcPr>
          <w:p w14:paraId="4AADCCDE" w14:textId="77777777" w:rsidR="00705A1C" w:rsidRPr="00A36A05" w:rsidRDefault="00705A1C" w:rsidP="007E4B7A">
            <w:pPr>
              <w:pStyle w:val="BoxBody"/>
              <w:spacing w:before="60" w:after="60"/>
              <w:ind w:left="0" w:right="0"/>
              <w:rPr>
                <w:rFonts w:ascii="Arial" w:eastAsia="Aptos" w:hAnsi="Arial" w:cs="Arial"/>
                <w:b/>
                <w:bCs/>
              </w:rPr>
            </w:pPr>
            <w:r w:rsidRPr="00A36A05">
              <w:rPr>
                <w:rFonts w:ascii="Arial" w:eastAsia="Aptos" w:hAnsi="Arial" w:cs="Arial"/>
                <w:b/>
                <w:bCs/>
              </w:rPr>
              <w:lastRenderedPageBreak/>
              <w:t>Serious breach</w:t>
            </w:r>
          </w:p>
        </w:tc>
        <w:tc>
          <w:tcPr>
            <w:tcW w:w="7371" w:type="dxa"/>
            <w:tcBorders>
              <w:bottom w:val="single" w:sz="4" w:space="0" w:color="auto"/>
            </w:tcBorders>
          </w:tcPr>
          <w:p w14:paraId="08993DB7"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 xml:space="preserve">Negligently, recklessly or knowingly failing to review progress against minimum cyber security requirements within specified timeframes or failing to comply with specified rules when adopting or reviewing requirements (criminal offence, entity or directors). </w:t>
            </w:r>
          </w:p>
          <w:p w14:paraId="79E13985"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Knowingly or intentionally abusing protected commercial information such as for sabotage or financial gain (criminal offence, entity or directors).</w:t>
            </w:r>
          </w:p>
          <w:p w14:paraId="50688B51"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Negligently, recklessly or knowingly (for an entity) or negligently or recklessly (for a director) failing to comply with an information request related to compliance or the prospective use of a power (criminal offence, entity only).</w:t>
            </w:r>
          </w:p>
          <w:p w14:paraId="55B580C2"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Negligently, recklessly or knowingly submitting false or misleading information (criminal offence, entity or directors).</w:t>
            </w:r>
          </w:p>
        </w:tc>
        <w:tc>
          <w:tcPr>
            <w:tcW w:w="4751" w:type="dxa"/>
            <w:tcBorders>
              <w:bottom w:val="single" w:sz="4" w:space="0" w:color="auto"/>
            </w:tcBorders>
          </w:tcPr>
          <w:p w14:paraId="2F19869E"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 xml:space="preserve">Compliance notice or enforceable undertaking. </w:t>
            </w:r>
          </w:p>
          <w:p w14:paraId="014E23B5"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 xml:space="preserve">Criminal penalty of up to $2 million or up to 1 percent of annual turnover, whichever is greater (for an entity). </w:t>
            </w:r>
          </w:p>
          <w:p w14:paraId="2DBC9518" w14:textId="77777777" w:rsidR="00705A1C" w:rsidRPr="007E4B7A" w:rsidRDefault="00705A1C" w:rsidP="007E4B7A">
            <w:pPr>
              <w:pStyle w:val="BoxBullet"/>
              <w:spacing w:before="60" w:after="60"/>
              <w:ind w:left="284" w:right="0"/>
              <w:rPr>
                <w:rFonts w:ascii="Arial" w:eastAsia="Aptos" w:hAnsi="Arial" w:cs="Arial"/>
              </w:rPr>
            </w:pPr>
            <w:r w:rsidRPr="007E4B7A">
              <w:rPr>
                <w:rFonts w:ascii="Arial" w:eastAsia="Aptos" w:hAnsi="Arial" w:cs="Arial"/>
              </w:rPr>
              <w:t>Criminal penalty up to $100,000 (for a director).</w:t>
            </w:r>
          </w:p>
        </w:tc>
      </w:tr>
      <w:tr w:rsidR="00705A1C" w:rsidRPr="007E4B7A" w14:paraId="08E47C0B" w14:textId="77777777" w:rsidTr="005445AE">
        <w:tc>
          <w:tcPr>
            <w:tcW w:w="2552" w:type="dxa"/>
          </w:tcPr>
          <w:p w14:paraId="2FD1A9D9" w14:textId="77777777" w:rsidR="00705A1C" w:rsidRPr="00A36A05" w:rsidRDefault="00705A1C" w:rsidP="00406149">
            <w:pPr>
              <w:pStyle w:val="BoxBody"/>
              <w:keepNext/>
              <w:keepLines/>
              <w:spacing w:before="60" w:after="60"/>
              <w:ind w:left="0" w:right="0"/>
              <w:rPr>
                <w:rFonts w:ascii="Arial" w:eastAsia="Aptos" w:hAnsi="Arial" w:cs="Arial"/>
                <w:b/>
                <w:bCs/>
              </w:rPr>
            </w:pPr>
            <w:r w:rsidRPr="00A36A05">
              <w:rPr>
                <w:rFonts w:ascii="Arial" w:eastAsia="Aptos" w:hAnsi="Arial" w:cs="Arial"/>
                <w:b/>
                <w:bCs/>
              </w:rPr>
              <w:lastRenderedPageBreak/>
              <w:t>Critical breach</w:t>
            </w:r>
          </w:p>
        </w:tc>
        <w:tc>
          <w:tcPr>
            <w:tcW w:w="7371" w:type="dxa"/>
          </w:tcPr>
          <w:p w14:paraId="196DB044" w14:textId="77777777" w:rsidR="00705A1C" w:rsidRPr="007E4B7A" w:rsidRDefault="00705A1C" w:rsidP="00406149">
            <w:pPr>
              <w:pStyle w:val="BoxBullet"/>
              <w:keepNext/>
              <w:keepLines/>
              <w:spacing w:before="60" w:after="60"/>
              <w:ind w:left="284" w:right="0"/>
              <w:rPr>
                <w:rFonts w:ascii="Arial" w:eastAsia="Aptos" w:hAnsi="Arial" w:cs="Arial"/>
              </w:rPr>
            </w:pPr>
            <w:r w:rsidRPr="007E4B7A">
              <w:rPr>
                <w:rFonts w:ascii="Arial" w:eastAsia="Aptos" w:hAnsi="Arial" w:cs="Arial"/>
              </w:rPr>
              <w:t>Negligently, recklessly or knowingly failing to meet minimum cyber security requirements.</w:t>
            </w:r>
          </w:p>
          <w:p w14:paraId="200FF0A7" w14:textId="77777777" w:rsidR="00705A1C" w:rsidRPr="007E4B7A" w:rsidRDefault="00705A1C" w:rsidP="00406149">
            <w:pPr>
              <w:pStyle w:val="BoxBullet"/>
              <w:keepNext/>
              <w:keepLines/>
              <w:spacing w:before="60" w:after="60"/>
              <w:ind w:left="284" w:right="0"/>
              <w:rPr>
                <w:rFonts w:ascii="Arial" w:eastAsia="Aptos" w:hAnsi="Arial" w:cs="Arial"/>
              </w:rPr>
            </w:pPr>
            <w:r w:rsidRPr="007E4B7A">
              <w:rPr>
                <w:rFonts w:ascii="Arial" w:eastAsia="Aptos" w:hAnsi="Arial" w:cs="Arial"/>
              </w:rPr>
              <w:t xml:space="preserve">Negligently, recklessly or knowingly failing to comply with instructions made under a national security power direction. </w:t>
            </w:r>
          </w:p>
          <w:p w14:paraId="1E90093E" w14:textId="77777777" w:rsidR="00705A1C" w:rsidRPr="007E4B7A" w:rsidRDefault="00705A1C" w:rsidP="00406149">
            <w:pPr>
              <w:pStyle w:val="BoxBullet"/>
              <w:keepNext/>
              <w:keepLines/>
              <w:spacing w:before="60" w:after="60"/>
              <w:ind w:left="284" w:right="0"/>
              <w:rPr>
                <w:rFonts w:ascii="Arial" w:eastAsia="Aptos" w:hAnsi="Arial" w:cs="Arial"/>
              </w:rPr>
            </w:pPr>
            <w:r w:rsidRPr="007E4B7A">
              <w:rPr>
                <w:rFonts w:ascii="Arial" w:eastAsia="Aptos" w:hAnsi="Arial" w:cs="Arial"/>
              </w:rPr>
              <w:t>Negligently, recklessly or knowingly obstructing an investigation or inspection.</w:t>
            </w:r>
          </w:p>
        </w:tc>
        <w:tc>
          <w:tcPr>
            <w:tcW w:w="4751" w:type="dxa"/>
          </w:tcPr>
          <w:p w14:paraId="16BF4972" w14:textId="77777777" w:rsidR="00705A1C" w:rsidRPr="007E4B7A" w:rsidRDefault="00705A1C" w:rsidP="00406149">
            <w:pPr>
              <w:pStyle w:val="BoxBullet"/>
              <w:keepNext/>
              <w:keepLines/>
              <w:spacing w:before="60" w:after="60"/>
              <w:ind w:left="284" w:right="0"/>
              <w:rPr>
                <w:rFonts w:ascii="Arial" w:eastAsia="Aptos" w:hAnsi="Arial" w:cs="Arial"/>
              </w:rPr>
            </w:pPr>
            <w:r w:rsidRPr="007E4B7A">
              <w:rPr>
                <w:rFonts w:ascii="Arial" w:eastAsia="Aptos" w:hAnsi="Arial" w:cs="Arial"/>
              </w:rPr>
              <w:t>Compliance notice or enforceable undertaking.</w:t>
            </w:r>
          </w:p>
          <w:p w14:paraId="43715D8D" w14:textId="77777777" w:rsidR="00705A1C" w:rsidRPr="007E4B7A" w:rsidRDefault="00705A1C" w:rsidP="00406149">
            <w:pPr>
              <w:pStyle w:val="BoxBullet"/>
              <w:keepNext/>
              <w:keepLines/>
              <w:spacing w:before="60" w:after="60"/>
              <w:ind w:left="284" w:right="0"/>
              <w:rPr>
                <w:rFonts w:ascii="Arial" w:eastAsia="Aptos" w:hAnsi="Arial" w:cs="Arial"/>
              </w:rPr>
            </w:pPr>
            <w:r w:rsidRPr="007E4B7A">
              <w:rPr>
                <w:rFonts w:ascii="Arial" w:eastAsia="Aptos" w:hAnsi="Arial" w:cs="Arial"/>
              </w:rPr>
              <w:t>Criminal penalty of up to $5 million or up to 2 percent of annual turnover, whichever is greater (for an entity).</w:t>
            </w:r>
          </w:p>
          <w:p w14:paraId="6F1EBA78" w14:textId="77777777" w:rsidR="00705A1C" w:rsidRPr="007E4B7A" w:rsidRDefault="00705A1C" w:rsidP="00406149">
            <w:pPr>
              <w:pStyle w:val="BoxBullet"/>
              <w:keepNext/>
              <w:keepLines/>
              <w:spacing w:before="60" w:after="60"/>
              <w:ind w:left="284" w:right="0"/>
              <w:rPr>
                <w:rFonts w:ascii="Arial" w:eastAsia="Aptos" w:hAnsi="Arial" w:cs="Arial"/>
              </w:rPr>
            </w:pPr>
            <w:r w:rsidRPr="007E4B7A">
              <w:rPr>
                <w:rFonts w:ascii="Arial" w:eastAsia="Aptos" w:hAnsi="Arial" w:cs="Arial"/>
              </w:rPr>
              <w:t>Criminal penalty up to $500,000 (for a director).</w:t>
            </w:r>
          </w:p>
        </w:tc>
      </w:tr>
    </w:tbl>
    <w:p w14:paraId="34D19CE7" w14:textId="77777777" w:rsidR="00DD7BDC" w:rsidRDefault="00DD7BDC">
      <w:pPr>
        <w:suppressAutoHyphens w:val="0"/>
        <w:autoSpaceDE/>
        <w:autoSpaceDN/>
        <w:adjustRightInd/>
        <w:spacing w:after="160" w:line="259" w:lineRule="auto"/>
        <w:textAlignment w:val="auto"/>
        <w:rPr>
          <w:rFonts w:eastAsia="Aptos" w:cs="Arial"/>
          <w:kern w:val="2"/>
          <w:sz w:val="18"/>
          <w:szCs w:val="18"/>
        </w:rPr>
      </w:pPr>
      <w:bookmarkStart w:id="58" w:name="_Toc197356474"/>
      <w:bookmarkStart w:id="59" w:name="_Toc197537715"/>
      <w:bookmarkStart w:id="60" w:name="_Toc197604221"/>
      <w:bookmarkStart w:id="61" w:name="_Toc197707104"/>
      <w:bookmarkStart w:id="62" w:name="_Toc198204221"/>
      <w:bookmarkStart w:id="63" w:name="_Hlk198884457"/>
      <w:r>
        <w:rPr>
          <w:rFonts w:eastAsia="Aptos" w:cs="Arial"/>
          <w:kern w:val="2"/>
          <w:sz w:val="18"/>
          <w:szCs w:val="18"/>
        </w:rPr>
        <w:br w:type="page"/>
      </w:r>
    </w:p>
    <w:p w14:paraId="3E0135B3" w14:textId="487B1496" w:rsidR="00705A1C" w:rsidRPr="00705A1C" w:rsidRDefault="00705A1C" w:rsidP="00FF2596">
      <w:pPr>
        <w:pStyle w:val="Heading1"/>
      </w:pPr>
      <w:r w:rsidRPr="00705A1C">
        <w:lastRenderedPageBreak/>
        <w:t>How to have your say</w:t>
      </w:r>
      <w:bookmarkEnd w:id="58"/>
      <w:bookmarkEnd w:id="59"/>
      <w:bookmarkEnd w:id="60"/>
      <w:bookmarkEnd w:id="61"/>
      <w:bookmarkEnd w:id="62"/>
    </w:p>
    <w:p w14:paraId="59BA3ED6" w14:textId="77777777" w:rsidR="001D4E8F" w:rsidRDefault="00705A1C" w:rsidP="00FF2596">
      <w:pPr>
        <w:pStyle w:val="Introduction"/>
      </w:pPr>
      <w:bookmarkStart w:id="64" w:name="_Hlk199332662"/>
      <w:r w:rsidRPr="00705A1C">
        <w:t>We want to hear views from individuals and organisations on</w:t>
      </w:r>
      <w:r w:rsidR="00FF2596">
        <w:t> </w:t>
      </w:r>
      <w:r w:rsidRPr="00705A1C">
        <w:t xml:space="preserve">the ideas and measures set out in this document. </w:t>
      </w:r>
      <w:bookmarkStart w:id="65" w:name="_Hlk199332645"/>
      <w:bookmarkEnd w:id="64"/>
    </w:p>
    <w:p w14:paraId="7B2A6432" w14:textId="36619C69" w:rsidR="00705A1C" w:rsidRPr="00705A1C" w:rsidRDefault="00705A1C" w:rsidP="00FF2596">
      <w:pPr>
        <w:pStyle w:val="Introduction"/>
        <w:rPr>
          <w:rFonts w:ascii="Aptos" w:hAnsi="Aptos" w:cs="Times New Roman"/>
          <w:kern w:val="2"/>
          <w:szCs w:val="22"/>
        </w:rPr>
      </w:pPr>
      <w:r w:rsidRPr="00705A1C">
        <w:t>Consultation is open from 27 February to 19 April 2026.</w:t>
      </w:r>
    </w:p>
    <w:bookmarkEnd w:id="65"/>
    <w:p w14:paraId="2452C8C7" w14:textId="6C2E4B75" w:rsidR="00705A1C" w:rsidRPr="00705A1C" w:rsidRDefault="00705A1C" w:rsidP="00FF2596">
      <w:pPr>
        <w:rPr>
          <w:rFonts w:cs="Aptos"/>
          <w:color w:val="000000"/>
          <w:lang w:val="en-GB"/>
        </w:rPr>
      </w:pPr>
      <w:r w:rsidRPr="00705A1C">
        <w:rPr>
          <w:lang w:val="en-GB"/>
        </w:rPr>
        <w:t xml:space="preserve">This discussion document is primarily aimed at the owners and operators of critical infrastructure who would be directly affected by potential regulatory reform. We also welcome input from individuals, businesses and communities who are directly affected by the security of our critical infrastructure. </w:t>
      </w:r>
    </w:p>
    <w:p w14:paraId="16ED4274" w14:textId="77777777" w:rsidR="00705A1C" w:rsidRPr="00705A1C" w:rsidRDefault="00705A1C" w:rsidP="00FF2596">
      <w:pPr>
        <w:rPr>
          <w:rFonts w:cs="Aptos"/>
          <w:color w:val="000000"/>
          <w:lang w:val="en-GB"/>
        </w:rPr>
      </w:pPr>
      <w:r w:rsidRPr="00705A1C">
        <w:rPr>
          <w:lang w:val="en-GB"/>
        </w:rPr>
        <w:t xml:space="preserve">Ways to provide feedback: </w:t>
      </w:r>
    </w:p>
    <w:p w14:paraId="271B0C8C" w14:textId="77777777" w:rsidR="00705A1C" w:rsidRPr="00FF2596" w:rsidRDefault="00705A1C" w:rsidP="00FF2596">
      <w:pPr>
        <w:pStyle w:val="Bullets0"/>
      </w:pPr>
      <w:r w:rsidRPr="00FF2596">
        <w:t>Attend an online or in</w:t>
      </w:r>
      <w:r w:rsidRPr="00FF2596">
        <w:noBreakHyphen/>
        <w:t>person meeting (details available on DPMC’s website)</w:t>
      </w:r>
    </w:p>
    <w:p w14:paraId="53BD175F" w14:textId="453BC3A9" w:rsidR="00705A1C" w:rsidRPr="00705A1C" w:rsidRDefault="00705A1C" w:rsidP="00FF2596">
      <w:pPr>
        <w:pStyle w:val="Bullets0"/>
        <w:rPr>
          <w:lang w:val="en-GB"/>
        </w:rPr>
      </w:pPr>
      <w:r w:rsidRPr="00FF2596">
        <w:t>Complete a written submission online on DPMC’s website, email it to</w:t>
      </w:r>
      <w:r w:rsidRPr="00705A1C">
        <w:rPr>
          <w:lang w:val="en-GB"/>
        </w:rPr>
        <w:t xml:space="preserve"> </w:t>
      </w:r>
      <w:hyperlink r:id="rId20" w:history="1">
        <w:r w:rsidRPr="009237B1">
          <w:rPr>
            <w:rStyle w:val="Hyperlink"/>
          </w:rPr>
          <w:t>criticalinfrastructure@dpmc.govt.nz</w:t>
        </w:r>
      </w:hyperlink>
      <w:r w:rsidRPr="00705A1C">
        <w:rPr>
          <w:lang w:val="en-GB"/>
        </w:rPr>
        <w:t xml:space="preserve"> or post it to:</w:t>
      </w:r>
      <w:r w:rsidRPr="00705A1C">
        <w:rPr>
          <w:lang w:val="en-GB"/>
        </w:rPr>
        <w:br/>
        <w:t>National Security and Resilience Group</w:t>
      </w:r>
      <w:r w:rsidRPr="00705A1C">
        <w:rPr>
          <w:lang w:val="en-GB"/>
        </w:rPr>
        <w:br/>
        <w:t>Department of the Prime Minister and Cabinet</w:t>
      </w:r>
      <w:r w:rsidRPr="00705A1C">
        <w:rPr>
          <w:lang w:val="en-GB"/>
        </w:rPr>
        <w:br/>
        <w:t>Level 8, Executive Wing, Parliament Buildings</w:t>
      </w:r>
      <w:r w:rsidRPr="00705A1C">
        <w:rPr>
          <w:lang w:val="en-GB"/>
        </w:rPr>
        <w:br/>
        <w:t>Wellington 6011</w:t>
      </w:r>
    </w:p>
    <w:p w14:paraId="1836806A" w14:textId="3F9DBE6F" w:rsidR="00705A1C" w:rsidRPr="00705A1C" w:rsidRDefault="00705A1C" w:rsidP="00FF2596">
      <w:pPr>
        <w:rPr>
          <w:rFonts w:cs="Arial"/>
          <w:lang w:val="en-GB"/>
        </w:rPr>
      </w:pPr>
      <w:r w:rsidRPr="00705A1C">
        <w:rPr>
          <w:lang w:val="en-GB"/>
        </w:rPr>
        <w:t xml:space="preserve">To guide your feedback, a list of questions to consider is provided on pages </w:t>
      </w:r>
      <w:r w:rsidR="00261A97">
        <w:rPr>
          <w:lang w:val="en-GB"/>
        </w:rPr>
        <w:t>45</w:t>
      </w:r>
      <w:r w:rsidRPr="00705A1C">
        <w:rPr>
          <w:lang w:val="en-GB"/>
        </w:rPr>
        <w:t>-</w:t>
      </w:r>
      <w:r w:rsidR="00261A97">
        <w:rPr>
          <w:lang w:val="en-GB"/>
        </w:rPr>
        <w:t>50</w:t>
      </w:r>
      <w:r w:rsidRPr="00705A1C">
        <w:rPr>
          <w:lang w:val="en-GB"/>
        </w:rPr>
        <w:t>. However, you should not feel restricted to answering these questions or using this format.</w:t>
      </w:r>
    </w:p>
    <w:p w14:paraId="7DE9215F" w14:textId="4FC8DE75" w:rsidR="00705A1C" w:rsidRPr="009237B1" w:rsidRDefault="00705A1C" w:rsidP="009237B1">
      <w:r w:rsidRPr="009237B1">
        <w:t>You can find more information about this work programme,</w:t>
      </w:r>
      <w:r w:rsidRPr="009237B1" w:rsidDel="00FA3041">
        <w:t xml:space="preserve"> </w:t>
      </w:r>
      <w:r w:rsidRPr="009237B1">
        <w:t xml:space="preserve">consultation meetings and making a submission on DPMC’s website at </w:t>
      </w:r>
      <w:bookmarkEnd w:id="63"/>
      <w:r w:rsidR="009237B1">
        <w:rPr>
          <w:iCs/>
          <w:kern w:val="2"/>
          <w:szCs w:val="16"/>
        </w:rPr>
        <w:fldChar w:fldCharType="begin"/>
      </w:r>
      <w:r w:rsidR="009237B1">
        <w:rPr>
          <w:iCs/>
          <w:kern w:val="2"/>
          <w:szCs w:val="16"/>
        </w:rPr>
        <w:instrText>HYPERLINK "</w:instrText>
      </w:r>
      <w:r w:rsidR="009237B1" w:rsidRPr="009237B1">
        <w:rPr>
          <w:iCs/>
          <w:kern w:val="2"/>
          <w:szCs w:val="16"/>
        </w:rPr>
        <w:instrText>https://www.dpmc.govt.nz/ our</w:instrText>
      </w:r>
      <w:r w:rsidR="009237B1" w:rsidRPr="009237B1">
        <w:rPr>
          <w:iCs/>
          <w:kern w:val="2"/>
          <w:szCs w:val="16"/>
        </w:rPr>
        <w:noBreakHyphen/>
        <w:instrText>programmes/national</w:instrText>
      </w:r>
      <w:r w:rsidR="009237B1" w:rsidRPr="009237B1">
        <w:rPr>
          <w:iCs/>
          <w:kern w:val="2"/>
          <w:szCs w:val="16"/>
        </w:rPr>
        <w:noBreakHyphen/>
        <w:instrText>security/critical</w:instrText>
      </w:r>
      <w:r w:rsidR="009237B1" w:rsidRPr="009237B1">
        <w:rPr>
          <w:iCs/>
          <w:kern w:val="2"/>
          <w:szCs w:val="16"/>
        </w:rPr>
        <w:noBreakHyphen/>
        <w:instrText>infrastructure</w:instrText>
      </w:r>
      <w:r w:rsidR="009237B1">
        <w:rPr>
          <w:iCs/>
          <w:kern w:val="2"/>
          <w:szCs w:val="16"/>
        </w:rPr>
        <w:instrText>"</w:instrText>
      </w:r>
      <w:r w:rsidR="009237B1">
        <w:rPr>
          <w:iCs/>
          <w:kern w:val="2"/>
          <w:szCs w:val="16"/>
        </w:rPr>
      </w:r>
      <w:r w:rsidR="009237B1">
        <w:rPr>
          <w:iCs/>
          <w:kern w:val="2"/>
          <w:szCs w:val="16"/>
        </w:rPr>
        <w:fldChar w:fldCharType="separate"/>
      </w:r>
      <w:r w:rsidR="009237B1" w:rsidRPr="00EE71DF">
        <w:rPr>
          <w:rStyle w:val="Hyperlink"/>
        </w:rPr>
        <w:t>https://www.dpmc.govt.nz/ our</w:t>
      </w:r>
      <w:r w:rsidR="009237B1" w:rsidRPr="00EE71DF">
        <w:rPr>
          <w:rStyle w:val="Hyperlink"/>
        </w:rPr>
        <w:noBreakHyphen/>
        <w:t>programmes/national</w:t>
      </w:r>
      <w:r w:rsidR="009237B1" w:rsidRPr="00EE71DF">
        <w:rPr>
          <w:rStyle w:val="Hyperlink"/>
        </w:rPr>
        <w:noBreakHyphen/>
        <w:t>security/critical</w:t>
      </w:r>
      <w:r w:rsidR="009237B1" w:rsidRPr="00EE71DF">
        <w:rPr>
          <w:rStyle w:val="Hyperlink"/>
        </w:rPr>
        <w:noBreakHyphen/>
        <w:t>infrastructure</w:t>
      </w:r>
      <w:r w:rsidR="009237B1">
        <w:rPr>
          <w:iCs/>
          <w:kern w:val="2"/>
          <w:szCs w:val="16"/>
        </w:rPr>
        <w:fldChar w:fldCharType="end"/>
      </w:r>
      <w:r w:rsidRPr="009237B1">
        <w:t>, including:</w:t>
      </w:r>
    </w:p>
    <w:p w14:paraId="73B2228F" w14:textId="2DF77568" w:rsidR="00705A1C" w:rsidRPr="009237B1" w:rsidRDefault="00705A1C" w:rsidP="009237B1">
      <w:pPr>
        <w:pStyle w:val="Bullets0"/>
      </w:pPr>
      <w:bookmarkStart w:id="66" w:name="_Hlk222239640"/>
      <w:r w:rsidRPr="009237B1">
        <w:t>Supplementary Document 1: Policy objectives, principles and assessment of</w:t>
      </w:r>
      <w:r w:rsidR="009237B1">
        <w:t> </w:t>
      </w:r>
      <w:r w:rsidRPr="009237B1">
        <w:t>measures</w:t>
      </w:r>
    </w:p>
    <w:p w14:paraId="13E4BB44" w14:textId="77777777" w:rsidR="00705A1C" w:rsidRPr="009237B1" w:rsidRDefault="00705A1C" w:rsidP="009237B1">
      <w:pPr>
        <w:pStyle w:val="Bullets0"/>
      </w:pPr>
      <w:r w:rsidRPr="009237B1">
        <w:t>Supplementary Document 2: Defining critical infrastructure</w:t>
      </w:r>
    </w:p>
    <w:p w14:paraId="63567A32" w14:textId="7BB6511D" w:rsidR="00DD7BDC" w:rsidRPr="009237B1" w:rsidRDefault="00705A1C" w:rsidP="009237B1">
      <w:pPr>
        <w:pStyle w:val="Bullets0"/>
      </w:pPr>
      <w:hyperlink r:id="rId21" w:history="1">
        <w:r w:rsidRPr="009237B1">
          <w:rPr>
            <w:rStyle w:val="Hyperlink"/>
          </w:rPr>
          <w:t>Summary of Phase 1 Consultation</w:t>
        </w:r>
      </w:hyperlink>
      <w:r w:rsidRPr="009237B1">
        <w:t>.</w:t>
      </w:r>
      <w:bookmarkEnd w:id="66"/>
      <w:r w:rsidR="00DD7BDC" w:rsidRPr="009237B1">
        <w:br w:type="page"/>
      </w:r>
    </w:p>
    <w:p w14:paraId="79292360" w14:textId="707F6BC6" w:rsidR="00705A1C" w:rsidRPr="00705A1C" w:rsidRDefault="00705A1C" w:rsidP="00FF2596">
      <w:pPr>
        <w:pStyle w:val="Heading1"/>
      </w:pPr>
      <w:r w:rsidRPr="00705A1C">
        <w:lastRenderedPageBreak/>
        <w:t>Consultation questions</w:t>
      </w:r>
    </w:p>
    <w:p w14:paraId="3A3F0446" w14:textId="77777777" w:rsidR="00705A1C" w:rsidRPr="00705A1C" w:rsidRDefault="00705A1C" w:rsidP="00FF2596">
      <w:pPr>
        <w:rPr>
          <w:lang w:val="en-GB"/>
        </w:rPr>
      </w:pPr>
      <w:r w:rsidRPr="00705A1C">
        <w:rPr>
          <w:lang w:val="en-GB"/>
        </w:rPr>
        <w:t xml:space="preserve">The Government is seeking your views on the following questions across all proposed measures: </w:t>
      </w:r>
    </w:p>
    <w:p w14:paraId="1E93C893" w14:textId="77777777" w:rsidR="00705A1C" w:rsidRPr="00705A1C" w:rsidRDefault="00705A1C" w:rsidP="00FF2596">
      <w:pPr>
        <w:pStyle w:val="Bullets0"/>
        <w:rPr>
          <w:lang w:val="en-GB"/>
        </w:rPr>
      </w:pPr>
      <w:r w:rsidRPr="00705A1C">
        <w:rPr>
          <w:lang w:val="en-GB"/>
        </w:rPr>
        <w:t>Do you have any comment on the potential implications of each of the measures?</w:t>
      </w:r>
    </w:p>
    <w:p w14:paraId="26826C65" w14:textId="77777777" w:rsidR="00705A1C" w:rsidRPr="00705A1C" w:rsidRDefault="00705A1C" w:rsidP="00FF2596">
      <w:pPr>
        <w:pStyle w:val="Bullets0"/>
        <w:rPr>
          <w:lang w:val="en-GB"/>
        </w:rPr>
      </w:pPr>
      <w:r w:rsidRPr="00705A1C">
        <w:rPr>
          <w:lang w:val="en-GB"/>
        </w:rPr>
        <w:t xml:space="preserve">Are you able to quantify the potential cost of compliance with each of the measures? </w:t>
      </w:r>
    </w:p>
    <w:p w14:paraId="748532FC" w14:textId="77777777" w:rsidR="00705A1C" w:rsidRPr="00705A1C" w:rsidRDefault="00705A1C" w:rsidP="00FF2596">
      <w:pPr>
        <w:pStyle w:val="Bullets0"/>
        <w:rPr>
          <w:lang w:val="en-GB"/>
        </w:rPr>
      </w:pPr>
      <w:r w:rsidRPr="00705A1C">
        <w:rPr>
          <w:lang w:val="en-GB"/>
        </w:rPr>
        <w:t>Do you think the right measures have been identified?</w:t>
      </w:r>
    </w:p>
    <w:p w14:paraId="3501D4A6" w14:textId="77777777" w:rsidR="00705A1C" w:rsidRPr="00705A1C" w:rsidRDefault="00705A1C" w:rsidP="00FF2596">
      <w:pPr>
        <w:pStyle w:val="Bullet2"/>
      </w:pPr>
      <w:r w:rsidRPr="00705A1C">
        <w:t>If yes, which of the measures do you prefer and why?</w:t>
      </w:r>
    </w:p>
    <w:p w14:paraId="2247BBC0" w14:textId="77777777" w:rsidR="00705A1C" w:rsidRPr="00705A1C" w:rsidRDefault="00705A1C" w:rsidP="00FF2596">
      <w:pPr>
        <w:pStyle w:val="Bullet2"/>
      </w:pPr>
      <w:r w:rsidRPr="00705A1C">
        <w:t>If no, what alternative measure(s) would you support and why?</w:t>
      </w:r>
    </w:p>
    <w:p w14:paraId="7D5ADF89" w14:textId="77777777" w:rsidR="00DD7BDC" w:rsidRDefault="00DD7BDC" w:rsidP="00FF2596">
      <w:pPr>
        <w:rPr>
          <w:caps/>
          <w:sz w:val="17"/>
          <w:szCs w:val="17"/>
          <w:lang w:val="en-GB"/>
        </w:rPr>
      </w:pPr>
      <w:r>
        <w:rPr>
          <w:caps/>
          <w:sz w:val="17"/>
          <w:szCs w:val="17"/>
          <w:lang w:val="en-GB"/>
        </w:rPr>
        <w:br w:type="page"/>
      </w:r>
    </w:p>
    <w:p w14:paraId="34FA6741" w14:textId="24F24557" w:rsidR="00705A1C" w:rsidRPr="00705A1C" w:rsidRDefault="00705A1C" w:rsidP="00FF2596">
      <w:pPr>
        <w:pStyle w:val="Heading6"/>
        <w:rPr>
          <w:lang w:val="en-GB"/>
        </w:rPr>
      </w:pPr>
      <w:r w:rsidRPr="00705A1C">
        <w:rPr>
          <w:lang w:val="en-GB"/>
        </w:rPr>
        <w:lastRenderedPageBreak/>
        <w:t>Sample template</w:t>
      </w:r>
    </w:p>
    <w:p w14:paraId="0557EC6D" w14:textId="77777777" w:rsidR="00705A1C" w:rsidRPr="00705A1C" w:rsidRDefault="00705A1C" w:rsidP="00FF2596">
      <w:pPr>
        <w:rPr>
          <w:lang w:val="en-GB"/>
        </w:rPr>
      </w:pPr>
      <w:r w:rsidRPr="00705A1C">
        <w:rPr>
          <w:lang w:val="en-GB"/>
        </w:rPr>
        <w:t>When providing information on costs across each measure – particularly minimum cyber risk management requirements – it would be helpful if this could be provided in the following template. This is to ensure information can be collected consistently to support the cost</w:t>
      </w:r>
      <w:r w:rsidRPr="00705A1C">
        <w:rPr>
          <w:lang w:val="en-GB"/>
        </w:rPr>
        <w:noBreakHyphen/>
        <w:t xml:space="preserve">benefit analysis that will inform final recommendations to Cabinet. </w:t>
      </w:r>
    </w:p>
    <w:tbl>
      <w:tblPr>
        <w:tblStyle w:val="TableGrid4"/>
        <w:tblW w:w="9209" w:type="dxa"/>
        <w:tblBorders>
          <w:left w:val="none" w:sz="0" w:space="0" w:color="auto"/>
          <w:right w:val="none" w:sz="0" w:space="0" w:color="auto"/>
          <w:insideV w:val="none" w:sz="0" w:space="0" w:color="auto"/>
        </w:tblBorders>
        <w:tblCellMar>
          <w:top w:w="57" w:type="dxa"/>
          <w:bottom w:w="57" w:type="dxa"/>
        </w:tblCellMar>
        <w:tblLook w:val="04A0" w:firstRow="1" w:lastRow="0" w:firstColumn="1" w:lastColumn="0" w:noHBand="0" w:noVBand="1"/>
      </w:tblPr>
      <w:tblGrid>
        <w:gridCol w:w="4604"/>
        <w:gridCol w:w="4605"/>
      </w:tblGrid>
      <w:tr w:rsidR="00705A1C" w:rsidRPr="0084313A" w14:paraId="5EC7CC40" w14:textId="77777777" w:rsidTr="0084313A">
        <w:tc>
          <w:tcPr>
            <w:tcW w:w="4604" w:type="dxa"/>
            <w:tcBorders>
              <w:top w:val="nil"/>
              <w:right w:val="single" w:sz="4" w:space="0" w:color="auto"/>
            </w:tcBorders>
            <w:shd w:val="clear" w:color="auto" w:fill="F2F2F2" w:themeFill="background1" w:themeFillShade="F2"/>
          </w:tcPr>
          <w:p w14:paraId="1915D3D6" w14:textId="1439A1CF" w:rsidR="00705A1C" w:rsidRPr="0084313A" w:rsidRDefault="001D4E8F" w:rsidP="0084313A">
            <w:pPr>
              <w:spacing w:before="60" w:after="60"/>
              <w:rPr>
                <w:rFonts w:ascii="Arial" w:hAnsi="Arial" w:cs="Arial"/>
                <w:b/>
                <w:bCs/>
              </w:rPr>
            </w:pPr>
            <w:r w:rsidRPr="0084313A">
              <w:rPr>
                <w:rFonts w:ascii="Arial" w:hAnsi="Arial" w:cs="Arial"/>
                <w:b/>
                <w:bCs/>
              </w:rPr>
              <w:t>Question</w:t>
            </w:r>
          </w:p>
        </w:tc>
        <w:tc>
          <w:tcPr>
            <w:tcW w:w="4605" w:type="dxa"/>
            <w:tcBorders>
              <w:top w:val="nil"/>
              <w:left w:val="single" w:sz="4" w:space="0" w:color="auto"/>
            </w:tcBorders>
            <w:shd w:val="clear" w:color="auto" w:fill="F2F2F2" w:themeFill="background1" w:themeFillShade="F2"/>
          </w:tcPr>
          <w:p w14:paraId="756C8218" w14:textId="44102835" w:rsidR="00705A1C" w:rsidRPr="0084313A" w:rsidRDefault="001D4E8F" w:rsidP="0084313A">
            <w:pPr>
              <w:spacing w:before="60" w:after="60"/>
              <w:rPr>
                <w:rFonts w:ascii="Arial" w:hAnsi="Arial" w:cs="Arial"/>
                <w:b/>
                <w:bCs/>
              </w:rPr>
            </w:pPr>
            <w:r w:rsidRPr="0084313A">
              <w:rPr>
                <w:rFonts w:ascii="Arial" w:hAnsi="Arial" w:cs="Arial"/>
                <w:b/>
                <w:bCs/>
              </w:rPr>
              <w:t>Response</w:t>
            </w:r>
          </w:p>
        </w:tc>
      </w:tr>
      <w:tr w:rsidR="00705A1C" w:rsidRPr="0084313A" w14:paraId="6C65ABF1" w14:textId="77777777" w:rsidTr="0084313A">
        <w:tc>
          <w:tcPr>
            <w:tcW w:w="4604" w:type="dxa"/>
            <w:tcBorders>
              <w:right w:val="single" w:sz="4" w:space="0" w:color="auto"/>
            </w:tcBorders>
          </w:tcPr>
          <w:p w14:paraId="31F3A511" w14:textId="4DCC0D92" w:rsidR="00705A1C" w:rsidRPr="0084313A" w:rsidRDefault="00705A1C" w:rsidP="0084313A">
            <w:pPr>
              <w:spacing w:before="60" w:after="60"/>
              <w:rPr>
                <w:rFonts w:ascii="Arial" w:hAnsi="Arial" w:cs="Arial"/>
              </w:rPr>
            </w:pPr>
            <w:r w:rsidRPr="0084313A">
              <w:rPr>
                <w:rFonts w:ascii="Arial" w:hAnsi="Arial" w:cs="Arial"/>
              </w:rPr>
              <w:t xml:space="preserve">Is your entity, based on the draft thresholds set out on pages </w:t>
            </w:r>
            <w:r w:rsidR="00261A97">
              <w:rPr>
                <w:rFonts w:ascii="Arial" w:hAnsi="Arial" w:cs="Arial"/>
              </w:rPr>
              <w:t>19-23</w:t>
            </w:r>
            <w:r w:rsidRPr="0084313A">
              <w:rPr>
                <w:rFonts w:ascii="Arial" w:hAnsi="Arial" w:cs="Arial"/>
              </w:rPr>
              <w:t xml:space="preserve">, likely to be a critical infrastructure entity? </w:t>
            </w:r>
          </w:p>
        </w:tc>
        <w:tc>
          <w:tcPr>
            <w:tcW w:w="4605" w:type="dxa"/>
            <w:tcBorders>
              <w:left w:val="single" w:sz="4" w:space="0" w:color="auto"/>
            </w:tcBorders>
          </w:tcPr>
          <w:p w14:paraId="6B1053A4" w14:textId="77777777" w:rsidR="00705A1C" w:rsidRPr="0084313A" w:rsidRDefault="00705A1C" w:rsidP="0084313A">
            <w:pPr>
              <w:spacing w:before="60" w:after="60"/>
              <w:rPr>
                <w:rFonts w:ascii="Arial" w:hAnsi="Arial" w:cs="Arial"/>
              </w:rPr>
            </w:pPr>
          </w:p>
        </w:tc>
      </w:tr>
      <w:tr w:rsidR="00705A1C" w:rsidRPr="0084313A" w14:paraId="2231631F" w14:textId="77777777" w:rsidTr="0084313A">
        <w:tc>
          <w:tcPr>
            <w:tcW w:w="4604" w:type="dxa"/>
            <w:tcBorders>
              <w:right w:val="single" w:sz="4" w:space="0" w:color="auto"/>
            </w:tcBorders>
          </w:tcPr>
          <w:p w14:paraId="13823603" w14:textId="77777777" w:rsidR="00705A1C" w:rsidRPr="0084313A" w:rsidRDefault="00705A1C" w:rsidP="0084313A">
            <w:pPr>
              <w:spacing w:before="60" w:after="60"/>
              <w:rPr>
                <w:rFonts w:ascii="Arial" w:hAnsi="Arial" w:cs="Arial"/>
              </w:rPr>
            </w:pPr>
            <w:r w:rsidRPr="0084313A">
              <w:rPr>
                <w:rFonts w:ascii="Arial" w:hAnsi="Arial" w:cs="Arial"/>
              </w:rPr>
              <w:t>What one-off capital costs do you expect to incur to comply with each measure, if any (e.g. the cost of developing new reporting systems)? Please provide a range between expected costs and highest possible costs.</w:t>
            </w:r>
          </w:p>
        </w:tc>
        <w:tc>
          <w:tcPr>
            <w:tcW w:w="4605" w:type="dxa"/>
            <w:tcBorders>
              <w:left w:val="single" w:sz="4" w:space="0" w:color="auto"/>
            </w:tcBorders>
          </w:tcPr>
          <w:p w14:paraId="055ED581" w14:textId="77777777" w:rsidR="00705A1C" w:rsidRPr="0084313A" w:rsidRDefault="00705A1C" w:rsidP="0084313A">
            <w:pPr>
              <w:spacing w:before="60" w:after="60"/>
              <w:rPr>
                <w:rFonts w:ascii="Arial" w:hAnsi="Arial" w:cs="Arial"/>
              </w:rPr>
            </w:pPr>
          </w:p>
        </w:tc>
      </w:tr>
      <w:tr w:rsidR="00705A1C" w:rsidRPr="0084313A" w14:paraId="70674178" w14:textId="77777777" w:rsidTr="0084313A">
        <w:tc>
          <w:tcPr>
            <w:tcW w:w="4604" w:type="dxa"/>
            <w:tcBorders>
              <w:right w:val="single" w:sz="4" w:space="0" w:color="auto"/>
            </w:tcBorders>
          </w:tcPr>
          <w:p w14:paraId="5BB46B03" w14:textId="77777777" w:rsidR="00705A1C" w:rsidRPr="0084313A" w:rsidRDefault="00705A1C" w:rsidP="0084313A">
            <w:pPr>
              <w:spacing w:before="60" w:after="60"/>
              <w:rPr>
                <w:rFonts w:ascii="Arial" w:hAnsi="Arial" w:cs="Arial"/>
              </w:rPr>
            </w:pPr>
            <w:r w:rsidRPr="0084313A">
              <w:rPr>
                <w:rFonts w:ascii="Arial" w:hAnsi="Arial" w:cs="Arial"/>
              </w:rPr>
              <w:t>What ongoing capital costs do you expect to incur to comply with each measure, if any (e.g. the cost of additional investments in resilience to meet the requirements of the risk management programme)? Please provide a range between expected costs and highest possible costs.</w:t>
            </w:r>
          </w:p>
        </w:tc>
        <w:tc>
          <w:tcPr>
            <w:tcW w:w="4605" w:type="dxa"/>
            <w:tcBorders>
              <w:left w:val="single" w:sz="4" w:space="0" w:color="auto"/>
            </w:tcBorders>
          </w:tcPr>
          <w:p w14:paraId="337A2842" w14:textId="77777777" w:rsidR="00705A1C" w:rsidRPr="0084313A" w:rsidRDefault="00705A1C" w:rsidP="0084313A">
            <w:pPr>
              <w:spacing w:before="60" w:after="60"/>
              <w:rPr>
                <w:rFonts w:ascii="Arial" w:hAnsi="Arial" w:cs="Arial"/>
              </w:rPr>
            </w:pPr>
          </w:p>
        </w:tc>
      </w:tr>
      <w:tr w:rsidR="00705A1C" w:rsidRPr="0084313A" w14:paraId="4EB5B4EC" w14:textId="77777777" w:rsidTr="0084313A">
        <w:tc>
          <w:tcPr>
            <w:tcW w:w="4604" w:type="dxa"/>
            <w:tcBorders>
              <w:right w:val="single" w:sz="4" w:space="0" w:color="auto"/>
            </w:tcBorders>
          </w:tcPr>
          <w:p w14:paraId="44477C19" w14:textId="77777777" w:rsidR="00705A1C" w:rsidRPr="0084313A" w:rsidRDefault="00705A1C" w:rsidP="0084313A">
            <w:pPr>
              <w:spacing w:before="60" w:after="60"/>
              <w:rPr>
                <w:rFonts w:ascii="Arial" w:hAnsi="Arial" w:cs="Arial"/>
              </w:rPr>
            </w:pPr>
            <w:r w:rsidRPr="0084313A">
              <w:rPr>
                <w:rFonts w:ascii="Arial" w:hAnsi="Arial" w:cs="Arial"/>
              </w:rPr>
              <w:t>What ongoing operational costs do you expect to incur to comply with each measure, if any (e.g. the cost of undertaking a risk assessment, as required by the risk management programme)? Please provide a range between expected costs and highest possible costs.</w:t>
            </w:r>
          </w:p>
        </w:tc>
        <w:tc>
          <w:tcPr>
            <w:tcW w:w="4605" w:type="dxa"/>
            <w:tcBorders>
              <w:left w:val="single" w:sz="4" w:space="0" w:color="auto"/>
            </w:tcBorders>
          </w:tcPr>
          <w:p w14:paraId="0570AD51" w14:textId="77777777" w:rsidR="00705A1C" w:rsidRPr="0084313A" w:rsidRDefault="00705A1C" w:rsidP="0084313A">
            <w:pPr>
              <w:spacing w:before="60" w:after="60"/>
              <w:rPr>
                <w:rFonts w:ascii="Arial" w:hAnsi="Arial" w:cs="Arial"/>
              </w:rPr>
            </w:pPr>
          </w:p>
        </w:tc>
      </w:tr>
      <w:tr w:rsidR="00705A1C" w:rsidRPr="0084313A" w14:paraId="7D8420B2" w14:textId="77777777" w:rsidTr="0084313A">
        <w:tc>
          <w:tcPr>
            <w:tcW w:w="4604" w:type="dxa"/>
            <w:tcBorders>
              <w:right w:val="single" w:sz="4" w:space="0" w:color="auto"/>
            </w:tcBorders>
          </w:tcPr>
          <w:p w14:paraId="2BEA99ED" w14:textId="77777777" w:rsidR="00705A1C" w:rsidRPr="0084313A" w:rsidRDefault="00705A1C" w:rsidP="0084313A">
            <w:pPr>
              <w:spacing w:before="60" w:after="60"/>
              <w:rPr>
                <w:rFonts w:ascii="Arial" w:hAnsi="Arial" w:cs="Arial"/>
              </w:rPr>
            </w:pPr>
            <w:r w:rsidRPr="0084313A">
              <w:rPr>
                <w:rFonts w:ascii="Arial" w:hAnsi="Arial" w:cs="Arial"/>
              </w:rPr>
              <w:t>What assumptions have underpinned these cost estimates?</w:t>
            </w:r>
          </w:p>
        </w:tc>
        <w:tc>
          <w:tcPr>
            <w:tcW w:w="4605" w:type="dxa"/>
            <w:tcBorders>
              <w:left w:val="single" w:sz="4" w:space="0" w:color="auto"/>
            </w:tcBorders>
          </w:tcPr>
          <w:p w14:paraId="621FEAEB" w14:textId="77777777" w:rsidR="00705A1C" w:rsidRPr="0084313A" w:rsidRDefault="00705A1C" w:rsidP="0084313A">
            <w:pPr>
              <w:spacing w:before="60" w:after="60"/>
              <w:rPr>
                <w:rFonts w:ascii="Arial" w:hAnsi="Arial" w:cs="Arial"/>
              </w:rPr>
            </w:pPr>
          </w:p>
        </w:tc>
      </w:tr>
    </w:tbl>
    <w:p w14:paraId="5182F4BE" w14:textId="6B2B10B2" w:rsidR="00705A1C" w:rsidRPr="00705A1C" w:rsidRDefault="00705A1C" w:rsidP="001D4E8F">
      <w:pPr>
        <w:pStyle w:val="Heading2"/>
      </w:pPr>
      <w:r w:rsidRPr="00705A1C">
        <w:lastRenderedPageBreak/>
        <w:t>In addition to the general questions above, the Government is seeking views on the following questions related to specific sections of the discussion document.</w:t>
      </w:r>
    </w:p>
    <w:p w14:paraId="27F3EFE5" w14:textId="77777777" w:rsidR="00705A1C" w:rsidRPr="00705A1C" w:rsidRDefault="00705A1C" w:rsidP="001D4E8F">
      <w:pPr>
        <w:pStyle w:val="Heading3"/>
      </w:pPr>
      <w:bookmarkStart w:id="67" w:name="_Toc167207999"/>
      <w:bookmarkStart w:id="68" w:name="_Toc172040185"/>
      <w:bookmarkStart w:id="69" w:name="_Toc197012765"/>
      <w:bookmarkStart w:id="70" w:name="_Toc197356528"/>
      <w:bookmarkStart w:id="71" w:name="_Toc197537772"/>
      <w:bookmarkStart w:id="72" w:name="_Toc197604275"/>
      <w:bookmarkStart w:id="73" w:name="_Toc197707159"/>
      <w:bookmarkStart w:id="74" w:name="_Toc198204277"/>
      <w:bookmarkStart w:id="75" w:name="_Toc199229269"/>
      <w:r w:rsidRPr="00705A1C">
        <w:t>Defining critical infrastructure</w:t>
      </w:r>
      <w:bookmarkEnd w:id="67"/>
      <w:bookmarkEnd w:id="68"/>
      <w:bookmarkEnd w:id="69"/>
      <w:bookmarkEnd w:id="70"/>
      <w:bookmarkEnd w:id="71"/>
      <w:bookmarkEnd w:id="72"/>
      <w:bookmarkEnd w:id="73"/>
      <w:bookmarkEnd w:id="74"/>
      <w:bookmarkEnd w:id="75"/>
    </w:p>
    <w:p w14:paraId="5446F9FC" w14:textId="77777777" w:rsidR="00705A1C" w:rsidRPr="00705A1C" w:rsidRDefault="00705A1C" w:rsidP="00FF2596">
      <w:pPr>
        <w:pStyle w:val="Bullets0"/>
        <w:rPr>
          <w:lang w:val="en-GB"/>
        </w:rPr>
      </w:pPr>
      <w:r w:rsidRPr="00705A1C">
        <w:rPr>
          <w:lang w:val="en-GB"/>
        </w:rPr>
        <w:t>Would you support the proposed approach to defining critical infrastructure and critical infrastructure of national significance, and if not, what changes would you recommend?</w:t>
      </w:r>
    </w:p>
    <w:p w14:paraId="41F11190" w14:textId="77777777" w:rsidR="00705A1C" w:rsidRPr="00705A1C" w:rsidRDefault="00705A1C" w:rsidP="00FF2596">
      <w:pPr>
        <w:pStyle w:val="Bullets0"/>
        <w:rPr>
          <w:lang w:val="en-GB"/>
        </w:rPr>
      </w:pPr>
      <w:r w:rsidRPr="00705A1C">
        <w:rPr>
          <w:lang w:val="en-GB"/>
        </w:rPr>
        <w:t>Do you consider any essential services have been included or excluded that should not be? If so, what services are they and why should they be added or removed?</w:t>
      </w:r>
    </w:p>
    <w:p w14:paraId="583B930F" w14:textId="77777777" w:rsidR="00705A1C" w:rsidRPr="00705A1C" w:rsidRDefault="00705A1C" w:rsidP="00FF2596">
      <w:pPr>
        <w:pStyle w:val="Bullets0"/>
        <w:rPr>
          <w:lang w:val="en-GB"/>
        </w:rPr>
      </w:pPr>
      <w:r w:rsidRPr="00705A1C">
        <w:rPr>
          <w:lang w:val="en-GB"/>
        </w:rPr>
        <w:t>Do you think the example thresholds for defining critical infrastructure have been set appropriately and provide sufficient clarity as to what level of service provision constitutes critical infrastructure? If not, what alternative thresholds would you support, and why?</w:t>
      </w:r>
    </w:p>
    <w:p w14:paraId="008586D0" w14:textId="77777777" w:rsidR="00705A1C" w:rsidRPr="00705A1C" w:rsidRDefault="00705A1C" w:rsidP="00FF2596">
      <w:pPr>
        <w:pStyle w:val="Bullets0"/>
        <w:rPr>
          <w:lang w:val="en-GB"/>
        </w:rPr>
      </w:pPr>
      <w:r w:rsidRPr="00705A1C">
        <w:rPr>
          <w:lang w:val="en-GB"/>
        </w:rPr>
        <w:t>In addition to interdependencies and consequences of a disruption, are there other factors you think should be considered in assessing whether an asset should be declared critical infrastructure of national significance</w:t>
      </w:r>
      <w:bookmarkStart w:id="76" w:name="_Toc167208000"/>
      <w:r w:rsidRPr="00705A1C">
        <w:rPr>
          <w:lang w:val="en-GB"/>
        </w:rPr>
        <w:t>?</w:t>
      </w:r>
    </w:p>
    <w:p w14:paraId="1D917D4E" w14:textId="77777777" w:rsidR="00705A1C" w:rsidRPr="00705A1C" w:rsidRDefault="00705A1C" w:rsidP="00FF2596">
      <w:pPr>
        <w:pStyle w:val="Bullets0"/>
        <w:rPr>
          <w:lang w:val="en-GB"/>
        </w:rPr>
      </w:pPr>
      <w:r w:rsidRPr="00705A1C">
        <w:rPr>
          <w:lang w:val="en-GB"/>
        </w:rPr>
        <w:t>Do you agree that the Minister responsible should have the ability to designate or exempt critical infrastructure entities? In not, what alternative approach would you support, and why?</w:t>
      </w:r>
    </w:p>
    <w:p w14:paraId="2A1B9C39" w14:textId="77777777" w:rsidR="00FF2596" w:rsidRDefault="00FF2596">
      <w:pPr>
        <w:suppressAutoHyphens w:val="0"/>
        <w:autoSpaceDE/>
        <w:autoSpaceDN/>
        <w:adjustRightInd/>
        <w:spacing w:after="160" w:line="259" w:lineRule="auto"/>
        <w:textAlignment w:val="auto"/>
        <w:rPr>
          <w:rFonts w:ascii="Arial Bold" w:hAnsi="Arial Bold"/>
          <w:b/>
          <w:color w:val="474E67"/>
          <w:sz w:val="32"/>
          <w:szCs w:val="18"/>
          <w:lang w:val="en-GB"/>
        </w:rPr>
      </w:pPr>
      <w:bookmarkStart w:id="77" w:name="_Toc197537773"/>
      <w:bookmarkStart w:id="78" w:name="_Toc197604276"/>
      <w:bookmarkStart w:id="79" w:name="_Toc197707160"/>
      <w:bookmarkStart w:id="80" w:name="_Toc197012766"/>
      <w:bookmarkStart w:id="81" w:name="_Toc197356529"/>
      <w:bookmarkStart w:id="82" w:name="_Toc198204278"/>
      <w:bookmarkStart w:id="83" w:name="_Toc199229270"/>
      <w:bookmarkStart w:id="84" w:name="_Toc172040186"/>
      <w:r>
        <w:br w:type="page"/>
      </w:r>
    </w:p>
    <w:p w14:paraId="7180E576" w14:textId="2BA9BF46" w:rsidR="00705A1C" w:rsidRPr="00705A1C" w:rsidRDefault="00705A1C" w:rsidP="001D4E8F">
      <w:pPr>
        <w:pStyle w:val="Heading3"/>
      </w:pPr>
      <w:r w:rsidRPr="00705A1C">
        <w:lastRenderedPageBreak/>
        <w:t>Improving information sharing and collection on threats and vulnerabilities</w:t>
      </w:r>
      <w:bookmarkEnd w:id="77"/>
      <w:bookmarkEnd w:id="78"/>
      <w:bookmarkEnd w:id="79"/>
      <w:bookmarkEnd w:id="80"/>
      <w:bookmarkEnd w:id="81"/>
      <w:bookmarkEnd w:id="82"/>
      <w:bookmarkEnd w:id="83"/>
    </w:p>
    <w:p w14:paraId="78EFDA2F" w14:textId="77777777" w:rsidR="00705A1C" w:rsidRPr="00705A1C" w:rsidRDefault="00705A1C" w:rsidP="00FF2596">
      <w:pPr>
        <w:pStyle w:val="Bullets0"/>
        <w:rPr>
          <w:lang w:val="en-GB"/>
        </w:rPr>
      </w:pPr>
      <w:r w:rsidRPr="00705A1C">
        <w:rPr>
          <w:lang w:val="en-GB"/>
        </w:rPr>
        <w:t>Do you agree with the proposed approach to protecting the data shared? If not, what alternative provisions would you suggest and why?</w:t>
      </w:r>
    </w:p>
    <w:p w14:paraId="24923E7A" w14:textId="77777777" w:rsidR="00705A1C" w:rsidRPr="00705A1C" w:rsidRDefault="00705A1C" w:rsidP="00FF2596">
      <w:pPr>
        <w:pStyle w:val="Bullets0"/>
        <w:rPr>
          <w:lang w:val="en-GB"/>
        </w:rPr>
      </w:pPr>
      <w:r w:rsidRPr="00705A1C">
        <w:rPr>
          <w:lang w:val="en-GB"/>
        </w:rPr>
        <w:t>If you are likely to be deemed a critical infrastructure owner or operator, what effect would having all essential infrastructure providers participating in the formal information exchange, rather than just other critical infrastructure entities, have on your willingness to participate?</w:t>
      </w:r>
    </w:p>
    <w:p w14:paraId="19739C79" w14:textId="77777777" w:rsidR="00705A1C" w:rsidRPr="00705A1C" w:rsidRDefault="00705A1C" w:rsidP="00FF2596">
      <w:pPr>
        <w:pStyle w:val="Bullets0"/>
        <w:rPr>
          <w:lang w:val="en-GB"/>
        </w:rPr>
      </w:pPr>
      <w:r w:rsidRPr="00705A1C">
        <w:rPr>
          <w:lang w:val="en-GB"/>
        </w:rPr>
        <w:t>If the government required regular reporting of all cyber incidents, how frequently do you think this information should be required (e.g. every quarter, every six months)?</w:t>
      </w:r>
    </w:p>
    <w:bookmarkEnd w:id="76"/>
    <w:bookmarkEnd w:id="84"/>
    <w:p w14:paraId="034692BF" w14:textId="77777777" w:rsidR="00705A1C" w:rsidRPr="00705A1C" w:rsidRDefault="00705A1C" w:rsidP="00FF2596">
      <w:pPr>
        <w:pStyle w:val="Bullets0"/>
        <w:rPr>
          <w:lang w:val="en-GB"/>
        </w:rPr>
      </w:pPr>
      <w:r w:rsidRPr="00705A1C">
        <w:rPr>
          <w:lang w:val="en-GB"/>
        </w:rPr>
        <w:t>Do you consider the proposed definition of a cyber incident can be given effect within your existing approach to enterprise risk management? If not, what alternative definition would you recommend? </w:t>
      </w:r>
    </w:p>
    <w:p w14:paraId="4578531F" w14:textId="77777777" w:rsidR="00705A1C" w:rsidRPr="00705A1C" w:rsidRDefault="00705A1C" w:rsidP="00FF2596">
      <w:pPr>
        <w:pStyle w:val="Bullets0"/>
        <w:rPr>
          <w:lang w:val="en-GB"/>
        </w:rPr>
      </w:pPr>
      <w:r w:rsidRPr="00705A1C">
        <w:rPr>
          <w:lang w:val="en-GB"/>
        </w:rPr>
        <w:t>Would a requirement to report significant cyber incidents make you less willing to report other cyber incidents voluntarily?</w:t>
      </w:r>
    </w:p>
    <w:p w14:paraId="3419ACC6" w14:textId="77777777" w:rsidR="00705A1C" w:rsidRPr="00705A1C" w:rsidRDefault="00705A1C" w:rsidP="00FF2596">
      <w:pPr>
        <w:pStyle w:val="Bullets0"/>
        <w:rPr>
          <w:lang w:val="en-GB"/>
        </w:rPr>
      </w:pPr>
      <w:r w:rsidRPr="00705A1C">
        <w:rPr>
          <w:lang w:val="en-GB"/>
        </w:rPr>
        <w:t>Do you consider using the criteria of serious and above for cyber incidents that should be reported within 72 hours are appropriate. If not, what criteria for reporting would you recommend?</w:t>
      </w:r>
    </w:p>
    <w:p w14:paraId="5805F09C" w14:textId="77777777" w:rsidR="00705A1C" w:rsidRPr="00705A1C" w:rsidRDefault="00705A1C" w:rsidP="00FF2596">
      <w:pPr>
        <w:pStyle w:val="Bullets0"/>
        <w:rPr>
          <w:lang w:val="en-GB"/>
        </w:rPr>
      </w:pPr>
      <w:r w:rsidRPr="00705A1C">
        <w:rPr>
          <w:lang w:val="en-GB"/>
        </w:rPr>
        <w:t>What impact do you think the requirement to report significant cyber incidents could have on your incident response process? For example, would you need to involve lawyers to determine what incidents to report and when?</w:t>
      </w:r>
    </w:p>
    <w:p w14:paraId="0941CE3D" w14:textId="77777777" w:rsidR="00FF2596" w:rsidRDefault="00FF2596">
      <w:pPr>
        <w:suppressAutoHyphens w:val="0"/>
        <w:autoSpaceDE/>
        <w:autoSpaceDN/>
        <w:adjustRightInd/>
        <w:spacing w:after="160" w:line="259" w:lineRule="auto"/>
        <w:textAlignment w:val="auto"/>
        <w:rPr>
          <w:rFonts w:ascii="Arial Bold" w:hAnsi="Arial Bold"/>
          <w:b/>
          <w:color w:val="474E67"/>
          <w:sz w:val="32"/>
          <w:szCs w:val="18"/>
          <w:lang w:val="en-GB"/>
        </w:rPr>
      </w:pPr>
      <w:bookmarkStart w:id="85" w:name="_Toc197012768"/>
      <w:bookmarkStart w:id="86" w:name="_Toc197356531"/>
      <w:bookmarkStart w:id="87" w:name="_Toc197537775"/>
      <w:bookmarkStart w:id="88" w:name="_Toc197604278"/>
      <w:bookmarkStart w:id="89" w:name="_Toc197707162"/>
      <w:bookmarkStart w:id="90" w:name="_Toc198204280"/>
      <w:bookmarkStart w:id="91" w:name="_Toc199229272"/>
      <w:r>
        <w:br w:type="page"/>
      </w:r>
    </w:p>
    <w:p w14:paraId="76EC71DA" w14:textId="46A37EBC" w:rsidR="00705A1C" w:rsidRPr="00705A1C" w:rsidRDefault="00705A1C" w:rsidP="001D4E8F">
      <w:pPr>
        <w:pStyle w:val="Heading3"/>
      </w:pPr>
      <w:r w:rsidRPr="00705A1C">
        <w:lastRenderedPageBreak/>
        <w:t>Introducing minimum cyber risk management</w:t>
      </w:r>
      <w:bookmarkEnd w:id="85"/>
      <w:bookmarkEnd w:id="86"/>
      <w:r w:rsidRPr="00705A1C">
        <w:t xml:space="preserve"> requirements across the critical infrastructure system</w:t>
      </w:r>
      <w:bookmarkEnd w:id="87"/>
      <w:bookmarkEnd w:id="88"/>
      <w:bookmarkEnd w:id="89"/>
      <w:bookmarkEnd w:id="90"/>
      <w:bookmarkEnd w:id="91"/>
    </w:p>
    <w:p w14:paraId="67D8A896" w14:textId="77BDB3E1" w:rsidR="00705A1C" w:rsidRPr="00705A1C" w:rsidRDefault="00705A1C" w:rsidP="00FF2596">
      <w:pPr>
        <w:pStyle w:val="Bullets0"/>
        <w:rPr>
          <w:lang w:val="en-GB"/>
        </w:rPr>
      </w:pPr>
      <w:r w:rsidRPr="00705A1C">
        <w:rPr>
          <w:lang w:val="en-GB"/>
        </w:rPr>
        <w:t>Are any of the specific words proposed to set the requirements of the risk management programme on page </w:t>
      </w:r>
      <w:r w:rsidR="00261A97">
        <w:rPr>
          <w:lang w:val="en-GB"/>
        </w:rPr>
        <w:t>3</w:t>
      </w:r>
      <w:r w:rsidRPr="00705A1C">
        <w:rPr>
          <w:lang w:val="en-GB"/>
        </w:rPr>
        <w:t>1 likely to conflict with your existing approach to risk management in a way that requires you to make significant changes to these processes, rather than build on what already exists?</w:t>
      </w:r>
    </w:p>
    <w:p w14:paraId="7DC86E03" w14:textId="77777777" w:rsidR="00705A1C" w:rsidRPr="00705A1C" w:rsidRDefault="00705A1C" w:rsidP="00FF2596">
      <w:pPr>
        <w:pStyle w:val="Bullets0"/>
        <w:rPr>
          <w:lang w:val="en-GB"/>
        </w:rPr>
      </w:pPr>
      <w:r w:rsidRPr="00705A1C">
        <w:rPr>
          <w:lang w:val="en-GB"/>
        </w:rPr>
        <w:t>Do you agree that critical components should be defined in a way that aligns with the scope of the requirements in the emergency management system? If not, what alternative scope would you recommend, and why?</w:t>
      </w:r>
    </w:p>
    <w:p w14:paraId="0D315C09" w14:textId="77777777" w:rsidR="00705A1C" w:rsidRPr="00705A1C" w:rsidRDefault="00705A1C" w:rsidP="00FF2596">
      <w:pPr>
        <w:pStyle w:val="Bullets0"/>
        <w:rPr>
          <w:lang w:val="en-GB"/>
        </w:rPr>
      </w:pPr>
      <w:r w:rsidRPr="00705A1C">
        <w:rPr>
          <w:lang w:val="en-GB"/>
        </w:rPr>
        <w:t xml:space="preserve">Do you consider that the concept of a risk that is material can be given effect to within your existing approach to enterprise risk management? If not, what alternative approach to defining the level of risk that must be treated would you recommend, and why? </w:t>
      </w:r>
    </w:p>
    <w:p w14:paraId="39A46AF6" w14:textId="77777777" w:rsidR="00705A1C" w:rsidRPr="00705A1C" w:rsidRDefault="00705A1C" w:rsidP="00FF2596">
      <w:pPr>
        <w:pStyle w:val="Bullets0"/>
        <w:rPr>
          <w:lang w:val="en-GB"/>
        </w:rPr>
      </w:pPr>
      <w:r w:rsidRPr="00705A1C">
        <w:rPr>
          <w:lang w:val="en-GB"/>
        </w:rPr>
        <w:t>Do you consider that the threshold for treating risks should be set at so far as reasonably practicable? If not, what alternative language to set the scope of risks to be treated would you recommend, and why?</w:t>
      </w:r>
    </w:p>
    <w:p w14:paraId="73A820DA" w14:textId="77777777" w:rsidR="00705A1C" w:rsidRPr="00705A1C" w:rsidRDefault="00705A1C" w:rsidP="00FF2596">
      <w:pPr>
        <w:pStyle w:val="Bullets0"/>
        <w:rPr>
          <w:lang w:val="en-GB"/>
        </w:rPr>
      </w:pPr>
      <w:r w:rsidRPr="00705A1C">
        <w:rPr>
          <w:lang w:val="en-GB"/>
        </w:rPr>
        <w:t xml:space="preserve">Do you support the risk management programme complying with a cyber security framework that is endorsed by the NCSC or recognised internationally? </w:t>
      </w:r>
    </w:p>
    <w:p w14:paraId="0F4C2A1A" w14:textId="77777777" w:rsidR="00705A1C" w:rsidRPr="00705A1C" w:rsidRDefault="00705A1C" w:rsidP="00FF2596">
      <w:pPr>
        <w:pStyle w:val="Bullets0"/>
        <w:rPr>
          <w:lang w:val="en-GB"/>
        </w:rPr>
      </w:pPr>
      <w:r w:rsidRPr="00705A1C">
        <w:rPr>
          <w:lang w:val="en-GB"/>
        </w:rPr>
        <w:t>Do you agree that government should not prescribe the international internationally recognised cyber security frameworks that are acceptable if compliance with an international cyber security framework were required? If not, what framework(s) would you suggest should be included on such a list, and why?</w:t>
      </w:r>
    </w:p>
    <w:p w14:paraId="77F7CF9B" w14:textId="77777777" w:rsidR="00705A1C" w:rsidRPr="00705A1C" w:rsidRDefault="00705A1C" w:rsidP="00FF2596">
      <w:pPr>
        <w:pStyle w:val="Bullets0"/>
        <w:rPr>
          <w:lang w:val="en-GB"/>
        </w:rPr>
      </w:pPr>
      <w:r w:rsidRPr="00705A1C">
        <w:rPr>
          <w:lang w:val="en-GB"/>
        </w:rPr>
        <w:t>Do you consider that a requirement for third</w:t>
      </w:r>
      <w:r w:rsidRPr="00705A1C">
        <w:rPr>
          <w:lang w:val="en-GB"/>
        </w:rPr>
        <w:noBreakHyphen/>
        <w:t>party vendors that have operational control over critical components, to support responsible entities to comply to the extent reasonably practicable, is important to the effective implementation of the risk management programme? Do see any unintended consequences? If so, what do you consider those to be?</w:t>
      </w:r>
    </w:p>
    <w:p w14:paraId="78E454EE" w14:textId="77777777" w:rsidR="00705A1C" w:rsidRPr="00705A1C" w:rsidRDefault="00705A1C" w:rsidP="00FF2596">
      <w:pPr>
        <w:pStyle w:val="Bullets0"/>
        <w:rPr>
          <w:lang w:val="en-GB"/>
        </w:rPr>
      </w:pPr>
      <w:r w:rsidRPr="00705A1C">
        <w:rPr>
          <w:lang w:val="en-GB"/>
        </w:rPr>
        <w:t xml:space="preserve">Do you consider that there are alternative ways for the government to recognise that compliance with other regulation is equivalent to the minimum requirements for cyber risk management? If so, what do you propose? </w:t>
      </w:r>
    </w:p>
    <w:p w14:paraId="6A9B36C1" w14:textId="77777777" w:rsidR="00705A1C" w:rsidRPr="00705A1C" w:rsidRDefault="00705A1C" w:rsidP="00FF2596">
      <w:pPr>
        <w:pStyle w:val="Bullets0"/>
        <w:rPr>
          <w:lang w:val="en-GB"/>
        </w:rPr>
      </w:pPr>
      <w:r w:rsidRPr="00705A1C">
        <w:rPr>
          <w:lang w:val="en-GB"/>
        </w:rPr>
        <w:lastRenderedPageBreak/>
        <w:t xml:space="preserve">Do you consider there is a more effective way to ensure compliance than to attach responsibility for minimum requirements for cyber risk management to individual directors? If so, what would you propose? </w:t>
      </w:r>
    </w:p>
    <w:p w14:paraId="5F907389" w14:textId="77777777" w:rsidR="00705A1C" w:rsidRPr="00705A1C" w:rsidRDefault="00705A1C" w:rsidP="00FF2596">
      <w:pPr>
        <w:pStyle w:val="Bullets0"/>
        <w:rPr>
          <w:lang w:val="en-GB"/>
        </w:rPr>
      </w:pPr>
      <w:r w:rsidRPr="00705A1C">
        <w:rPr>
          <w:lang w:val="en-GB"/>
        </w:rPr>
        <w:t>Do you have a preference on how responsible entities should demonstrate compliance with minimum requirements for cyber risk management?</w:t>
      </w:r>
    </w:p>
    <w:p w14:paraId="43AD3E6A" w14:textId="4E767910" w:rsidR="00705A1C" w:rsidRPr="00705A1C" w:rsidRDefault="00705A1C" w:rsidP="00FF2596">
      <w:pPr>
        <w:pStyle w:val="Heading3"/>
        <w:rPr>
          <w:lang w:val="en-GB"/>
        </w:rPr>
      </w:pPr>
      <w:bookmarkStart w:id="92" w:name="_Toc197012769"/>
      <w:bookmarkStart w:id="93" w:name="_Toc197356532"/>
      <w:bookmarkStart w:id="94" w:name="_Toc197537776"/>
      <w:bookmarkStart w:id="95" w:name="_Toc197604279"/>
      <w:bookmarkStart w:id="96" w:name="_Toc197707163"/>
      <w:bookmarkStart w:id="97" w:name="_Toc198204281"/>
      <w:bookmarkStart w:id="98" w:name="_Toc199229273"/>
      <w:r w:rsidRPr="00705A1C">
        <w:rPr>
          <w:lang w:val="en-GB"/>
        </w:rPr>
        <w:t xml:space="preserve">Ensuring effective management of cyber </w:t>
      </w:r>
      <w:bookmarkEnd w:id="92"/>
      <w:bookmarkEnd w:id="93"/>
      <w:r w:rsidRPr="00705A1C">
        <w:rPr>
          <w:lang w:val="en-GB"/>
        </w:rPr>
        <w:t>threats</w:t>
      </w:r>
      <w:bookmarkEnd w:id="94"/>
      <w:bookmarkEnd w:id="95"/>
      <w:bookmarkEnd w:id="96"/>
      <w:r w:rsidRPr="00705A1C">
        <w:rPr>
          <w:lang w:val="en-GB"/>
        </w:rPr>
        <w:t xml:space="preserve"> impacting national security</w:t>
      </w:r>
      <w:bookmarkEnd w:id="97"/>
      <w:bookmarkEnd w:id="98"/>
    </w:p>
    <w:p w14:paraId="684034B5" w14:textId="77777777" w:rsidR="00705A1C" w:rsidRPr="00705A1C" w:rsidRDefault="00705A1C" w:rsidP="00FF2596">
      <w:pPr>
        <w:pStyle w:val="Bullets0"/>
        <w:rPr>
          <w:lang w:val="en-GB"/>
        </w:rPr>
      </w:pPr>
      <w:r w:rsidRPr="00705A1C">
        <w:rPr>
          <w:lang w:val="en-GB"/>
        </w:rPr>
        <w:t>When responding to a cyber incident for national security reasons, what support from government is most helpful to aid the restoration of essential services?</w:t>
      </w:r>
    </w:p>
    <w:p w14:paraId="0232F98C" w14:textId="77777777" w:rsidR="00705A1C" w:rsidRPr="00705A1C" w:rsidRDefault="00705A1C" w:rsidP="00FF2596">
      <w:pPr>
        <w:pStyle w:val="Bullets0"/>
        <w:rPr>
          <w:lang w:val="en-GB"/>
        </w:rPr>
      </w:pPr>
      <w:r w:rsidRPr="00705A1C">
        <w:rPr>
          <w:lang w:val="en-GB"/>
        </w:rPr>
        <w:t>Do you think the thresholds for the use of the last</w:t>
      </w:r>
      <w:r w:rsidRPr="00705A1C">
        <w:rPr>
          <w:lang w:val="en-GB"/>
        </w:rPr>
        <w:noBreakHyphen/>
        <w:t xml:space="preserve">resort power are appropriate? If not, what changes would you propose? </w:t>
      </w:r>
    </w:p>
    <w:p w14:paraId="789C11A6" w14:textId="77777777" w:rsidR="00705A1C" w:rsidRPr="00705A1C" w:rsidRDefault="00705A1C" w:rsidP="00FF2596">
      <w:pPr>
        <w:pStyle w:val="Bullets0"/>
        <w:rPr>
          <w:lang w:val="en-GB"/>
        </w:rPr>
      </w:pPr>
      <w:r w:rsidRPr="00705A1C">
        <w:rPr>
          <w:lang w:val="en-GB"/>
        </w:rPr>
        <w:t>Do you think that the protections and rights for entities subject to the last</w:t>
      </w:r>
      <w:r w:rsidRPr="00705A1C">
        <w:rPr>
          <w:lang w:val="en-GB"/>
        </w:rPr>
        <w:noBreakHyphen/>
        <w:t>resort power are appropriate? If not, what changes would you propose?</w:t>
      </w:r>
    </w:p>
    <w:p w14:paraId="165E0A71" w14:textId="77777777" w:rsidR="00705A1C" w:rsidRPr="00705A1C" w:rsidRDefault="00705A1C" w:rsidP="00FF2596">
      <w:pPr>
        <w:pStyle w:val="Heading3"/>
        <w:rPr>
          <w:lang w:val="en-GB"/>
        </w:rPr>
      </w:pPr>
      <w:bookmarkStart w:id="99" w:name="_Toc197012770"/>
      <w:bookmarkStart w:id="100" w:name="_Toc197356533"/>
      <w:bookmarkStart w:id="101" w:name="_Toc197537778"/>
      <w:bookmarkStart w:id="102" w:name="_Toc197604281"/>
      <w:bookmarkStart w:id="103" w:name="_Toc197707165"/>
      <w:bookmarkStart w:id="104" w:name="_Toc198204283"/>
      <w:bookmarkStart w:id="105" w:name="_Toc199229275"/>
      <w:r w:rsidRPr="00705A1C">
        <w:rPr>
          <w:lang w:val="en-GB"/>
        </w:rPr>
        <w:t>Ensuring mandatory requirements improve the cyber security of the critical infrastructure system</w:t>
      </w:r>
      <w:bookmarkEnd w:id="99"/>
      <w:bookmarkEnd w:id="100"/>
      <w:bookmarkEnd w:id="101"/>
      <w:bookmarkEnd w:id="102"/>
      <w:bookmarkEnd w:id="103"/>
      <w:bookmarkEnd w:id="104"/>
      <w:bookmarkEnd w:id="105"/>
    </w:p>
    <w:p w14:paraId="30C34248" w14:textId="77777777" w:rsidR="00705A1C" w:rsidRPr="00705A1C" w:rsidRDefault="00705A1C" w:rsidP="00340A76">
      <w:pPr>
        <w:pStyle w:val="Bullets0"/>
        <w:rPr>
          <w:lang w:val="en-GB"/>
        </w:rPr>
      </w:pPr>
      <w:r w:rsidRPr="00705A1C">
        <w:rPr>
          <w:lang w:val="en-GB"/>
        </w:rPr>
        <w:t xml:space="preserve">Do you consider that the breaches are appropriately mapped to compliance and enforcement tools? If not, what changes would you propose? </w:t>
      </w:r>
    </w:p>
    <w:p w14:paraId="4DD28498" w14:textId="77777777" w:rsidR="00705A1C" w:rsidRPr="00705A1C" w:rsidRDefault="00705A1C" w:rsidP="00340A76">
      <w:pPr>
        <w:pStyle w:val="Bullets0"/>
        <w:rPr>
          <w:lang w:val="en-GB"/>
        </w:rPr>
      </w:pPr>
      <w:r w:rsidRPr="00705A1C">
        <w:rPr>
          <w:lang w:val="en-GB"/>
        </w:rPr>
        <w:t>Do you support the proposed approach to compliance and enforcement where an entity breaches requirements across two or more regulatory regimes? If not, what alternative would you propose?</w:t>
      </w:r>
    </w:p>
    <w:p w14:paraId="20359D27" w14:textId="77777777" w:rsidR="00705A1C" w:rsidRPr="00705A1C" w:rsidRDefault="00705A1C" w:rsidP="00340A76">
      <w:pPr>
        <w:pStyle w:val="Bullets0"/>
        <w:rPr>
          <w:lang w:val="en-GB"/>
        </w:rPr>
      </w:pPr>
      <w:r w:rsidRPr="00705A1C">
        <w:rPr>
          <w:lang w:val="en-GB"/>
        </w:rPr>
        <w:t>Do you agree that penalties in respect of compliance with minimum cyber security requirements should apply to the entity's directors as well as to the organisation as a whole? Why or why not?</w:t>
      </w:r>
    </w:p>
    <w:p w14:paraId="5CC3EBD7" w14:textId="1D5DE38E" w:rsidR="00705A1C" w:rsidRPr="00340A76" w:rsidRDefault="00705A1C" w:rsidP="00340A76">
      <w:pPr>
        <w:pStyle w:val="Bullets0"/>
        <w:rPr>
          <w:lang w:val="en-GB"/>
        </w:rPr>
      </w:pPr>
      <w:r w:rsidRPr="00705A1C">
        <w:rPr>
          <w:lang w:val="en-GB"/>
        </w:rPr>
        <w:t xml:space="preserve">Do you perceive any perverse outcomes </w:t>
      </w:r>
      <w:proofErr w:type="gramStart"/>
      <w:r w:rsidRPr="00705A1C">
        <w:rPr>
          <w:lang w:val="en-GB"/>
        </w:rPr>
        <w:t>as a result of</w:t>
      </w:r>
      <w:proofErr w:type="gramEnd"/>
      <w:r w:rsidRPr="00705A1C">
        <w:rPr>
          <w:lang w:val="en-GB"/>
        </w:rPr>
        <w:t xml:space="preserve"> directors being individually liable for the most serious</w:t>
      </w:r>
      <w:r w:rsidRPr="00705A1C" w:rsidDel="0043606A">
        <w:rPr>
          <w:lang w:val="en-GB"/>
        </w:rPr>
        <w:t xml:space="preserve"> </w:t>
      </w:r>
      <w:r w:rsidRPr="00705A1C">
        <w:rPr>
          <w:lang w:val="en-GB"/>
        </w:rPr>
        <w:t>breaches of the regime?</w:t>
      </w:r>
    </w:p>
    <w:sectPr w:rsidR="00705A1C" w:rsidRPr="00340A76" w:rsidSect="00DD7BDC">
      <w:headerReference w:type="even" r:id="rId22"/>
      <w:footerReference w:type="even" r:id="rId23"/>
      <w:pgSz w:w="11906" w:h="16838" w:code="9"/>
      <w:pgMar w:top="2268" w:right="1588" w:bottom="1418" w:left="1588" w:header="34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149C8" w14:textId="77777777" w:rsidR="000A5927" w:rsidRDefault="000A5927" w:rsidP="004207CD">
      <w:r>
        <w:separator/>
      </w:r>
    </w:p>
    <w:p w14:paraId="37E82286" w14:textId="77777777" w:rsidR="000A5927" w:rsidRDefault="000A5927" w:rsidP="004207CD"/>
  </w:endnote>
  <w:endnote w:type="continuationSeparator" w:id="0">
    <w:p w14:paraId="7A24A8E4" w14:textId="77777777" w:rsidR="000A5927" w:rsidRDefault="000A5927" w:rsidP="004207CD">
      <w:r>
        <w:continuationSeparator/>
      </w:r>
    </w:p>
    <w:p w14:paraId="6B702205" w14:textId="77777777" w:rsidR="000A5927" w:rsidRDefault="000A5927" w:rsidP="004207CD"/>
  </w:endnote>
  <w:endnote w:type="continuationNotice" w:id="1">
    <w:p w14:paraId="7921A10C" w14:textId="77777777" w:rsidR="000A5927" w:rsidRDefault="000A5927" w:rsidP="004207CD"/>
    <w:p w14:paraId="1A2C3C9A" w14:textId="77777777" w:rsidR="000A5927" w:rsidRDefault="000A5927" w:rsidP="004207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rial Bold">
    <w:panose1 w:val="020B0704020202020204"/>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ource Sans Pro">
    <w:charset w:val="00"/>
    <w:family w:val="swiss"/>
    <w:pitch w:val="variable"/>
    <w:sig w:usb0="600002F7" w:usb1="02000001" w:usb2="00000000" w:usb3="00000000" w:csb0="0000019F" w:csb1="00000000"/>
  </w:font>
  <w:font w:name="Arial Mäori">
    <w:altName w:val="Arial"/>
    <w:charset w:val="00"/>
    <w:family w:val="swiss"/>
    <w:pitch w:val="variable"/>
    <w:sig w:usb0="00000003" w:usb1="00000000" w:usb2="00000000" w:usb3="00000000" w:csb0="00000001" w:csb1="00000000"/>
  </w:font>
  <w:font w:name="Open Sans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dobe Devanagari">
    <w:panose1 w:val="00000000000000000000"/>
    <w:charset w:val="00"/>
    <w:family w:val="roman"/>
    <w:notTrueType/>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ource Sans Pro SemiBold">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5777580"/>
      <w:docPartObj>
        <w:docPartGallery w:val="Page Numbers (Bottom of Page)"/>
        <w:docPartUnique/>
      </w:docPartObj>
    </w:sdtPr>
    <w:sdtEndPr/>
    <w:sdtContent>
      <w:p w14:paraId="32B73B87" w14:textId="20E1B65D" w:rsidR="00864928" w:rsidRDefault="00864928" w:rsidP="000D10E7">
        <w:pPr>
          <w:pStyle w:val="Footer"/>
          <w:rPr>
            <w:b/>
            <w:color w:val="191919"/>
          </w:rPr>
        </w:pPr>
        <w:r w:rsidRPr="00C64E11">
          <w:rPr>
            <w:b/>
            <w:bCs/>
          </w:rPr>
          <w:fldChar w:fldCharType="begin"/>
        </w:r>
        <w:r w:rsidRPr="00C64E11">
          <w:rPr>
            <w:b/>
            <w:bCs/>
          </w:rPr>
          <w:instrText xml:space="preserve"> PAGE   \* MERGEFORMAT </w:instrText>
        </w:r>
        <w:r w:rsidRPr="00C64E11">
          <w:rPr>
            <w:b/>
            <w:bCs/>
          </w:rPr>
          <w:fldChar w:fldCharType="separate"/>
        </w:r>
        <w:r>
          <w:rPr>
            <w:b/>
            <w:bCs/>
          </w:rPr>
          <w:t>1</w:t>
        </w:r>
        <w:r w:rsidR="00A65DDE">
          <w:rPr>
            <w:b/>
            <w:bCs/>
            <w:caps w:val="0"/>
          </w:rPr>
          <w:t>4</w:t>
        </w:r>
        <w:r w:rsidRPr="00C64E11">
          <w:rPr>
            <w:b/>
            <w:bCs/>
          </w:rPr>
          <w:fldChar w:fldCharType="end"/>
        </w:r>
        <w:r w:rsidR="00A65DDE" w:rsidRPr="00C301E7">
          <w:rPr>
            <w:caps w:val="0"/>
          </w:rPr>
          <w:t xml:space="preserve"> </w:t>
        </w:r>
        <w:r w:rsidR="00A65DDE">
          <w:rPr>
            <w:caps w:val="0"/>
          </w:rPr>
          <w:t xml:space="preserve">  |   </w:t>
        </w:r>
        <w:r w:rsidR="002E697E">
          <w:rPr>
            <w:caps w:val="0"/>
          </w:rPr>
          <w:t>Enhancing the cyber security of New Zealand’s critical infrastructure system</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035FB" w14:textId="2A73245B" w:rsidR="00E350FE" w:rsidRPr="00A26DC7" w:rsidRDefault="00DC62C6" w:rsidP="00E970A2">
    <w:pPr>
      <w:pStyle w:val="Footer"/>
    </w:pPr>
    <w:r w:rsidRPr="00740F1E">
      <w:rPr>
        <w:rFonts w:ascii="Source Sans Pro SemiBold" w:hAnsi="Source Sans Pro SemiBold"/>
        <w:color w:val="1F5B9A"/>
      </w:rPr>
      <w:fldChar w:fldCharType="begin"/>
    </w:r>
    <w:r w:rsidRPr="00740F1E">
      <w:rPr>
        <w:rFonts w:ascii="Source Sans Pro SemiBold" w:hAnsi="Source Sans Pro SemiBold"/>
        <w:color w:val="1F5B9A"/>
      </w:rPr>
      <w:instrText xml:space="preserve"> PAGE   \* MERGEFORMAT </w:instrText>
    </w:r>
    <w:r w:rsidRPr="00740F1E">
      <w:rPr>
        <w:rFonts w:ascii="Source Sans Pro SemiBold" w:hAnsi="Source Sans Pro SemiBold"/>
        <w:color w:val="1F5B9A"/>
      </w:rPr>
      <w:fldChar w:fldCharType="separate"/>
    </w:r>
    <w:r>
      <w:rPr>
        <w:rFonts w:ascii="Source Sans Pro SemiBold" w:hAnsi="Source Sans Pro SemiBold"/>
        <w:color w:val="1F5B9A"/>
      </w:rPr>
      <w:t>72</w:t>
    </w:r>
    <w:r w:rsidRPr="00740F1E">
      <w:rPr>
        <w:rFonts w:ascii="Source Sans Pro SemiBold" w:hAnsi="Source Sans Pro SemiBold"/>
        <w:noProof/>
        <w:color w:val="1F5B9A"/>
      </w:rPr>
      <w:fldChar w:fldCharType="end"/>
    </w:r>
    <w:r w:rsidRPr="00740F1E">
      <w:t xml:space="preserve">  |  Options to </w:t>
    </w:r>
    <w:r>
      <w:t xml:space="preserve">enhance the cyber </w:t>
    </w:r>
    <w:r w:rsidRPr="00740F1E">
      <w:t xml:space="preserve">security of </w:t>
    </w:r>
    <w:r w:rsidR="00E137F7">
      <w:t>New Zealand</w:t>
    </w:r>
    <w:r w:rsidRPr="00740F1E">
      <w:t>’s critical infrastructure system</w:t>
    </w:r>
  </w:p>
  <w:p w14:paraId="62C0EEE8" w14:textId="77777777" w:rsidR="00044FCA" w:rsidRDefault="00044FCA" w:rsidP="004207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FC36E" w14:textId="77777777" w:rsidR="000A5927" w:rsidRDefault="000A5927" w:rsidP="0092786C">
      <w:pPr>
        <w:spacing w:after="60"/>
      </w:pPr>
      <w:r>
        <w:separator/>
      </w:r>
    </w:p>
  </w:footnote>
  <w:footnote w:type="continuationSeparator" w:id="0">
    <w:p w14:paraId="0291E00C" w14:textId="77777777" w:rsidR="000A5927" w:rsidRDefault="000A5927" w:rsidP="004207CD">
      <w:r>
        <w:continuationSeparator/>
      </w:r>
    </w:p>
    <w:p w14:paraId="314CEB86" w14:textId="77777777" w:rsidR="000A5927" w:rsidRDefault="000A5927" w:rsidP="004207CD"/>
  </w:footnote>
  <w:footnote w:type="continuationNotice" w:id="1">
    <w:p w14:paraId="2E03E7D8" w14:textId="77777777" w:rsidR="000A5927" w:rsidRDefault="000A5927" w:rsidP="004207CD"/>
    <w:p w14:paraId="66E222B5" w14:textId="77777777" w:rsidR="000A5927" w:rsidRDefault="000A5927" w:rsidP="004207CD"/>
  </w:footnote>
  <w:footnote w:id="2">
    <w:p w14:paraId="58EBA771" w14:textId="77777777" w:rsidR="00705A1C" w:rsidRPr="00774AD0" w:rsidRDefault="00705A1C" w:rsidP="00774AD0">
      <w:pPr>
        <w:pStyle w:val="FootnoteText"/>
        <w:rPr>
          <w:rStyle w:val="Footer1"/>
          <w:sz w:val="16"/>
        </w:rPr>
      </w:pPr>
      <w:r w:rsidRPr="00EC6449">
        <w:rPr>
          <w:rStyle w:val="Footer1"/>
          <w:sz w:val="20"/>
          <w:szCs w:val="22"/>
        </w:rPr>
        <w:footnoteRef/>
      </w:r>
      <w:r w:rsidRPr="00774AD0">
        <w:rPr>
          <w:rStyle w:val="Footer1"/>
          <w:sz w:val="16"/>
        </w:rPr>
        <w:t xml:space="preserve"> </w:t>
      </w:r>
      <w:r w:rsidRPr="00774AD0">
        <w:rPr>
          <w:rStyle w:val="Footer1"/>
          <w:sz w:val="16"/>
        </w:rPr>
        <w:tab/>
      </w:r>
      <w:r w:rsidRPr="00EC6449">
        <w:rPr>
          <w:rStyle w:val="Footer1"/>
          <w:sz w:val="20"/>
          <w:szCs w:val="22"/>
        </w:rPr>
        <w:t xml:space="preserve">National Cyber Security Centre. (2025). </w:t>
      </w:r>
      <w:r w:rsidRPr="00EC6449">
        <w:rPr>
          <w:rStyle w:val="Footer1"/>
          <w:i/>
          <w:iCs/>
          <w:sz w:val="20"/>
          <w:szCs w:val="22"/>
        </w:rPr>
        <w:t>Rise in financial losses reported to the NCSC</w:t>
      </w:r>
      <w:r w:rsidRPr="00EC6449">
        <w:rPr>
          <w:rStyle w:val="Footer1"/>
          <w:sz w:val="20"/>
          <w:szCs w:val="22"/>
        </w:rPr>
        <w:t xml:space="preserve">. </w:t>
      </w:r>
      <w:hyperlink r:id="rId1" w:history="1">
        <w:r w:rsidRPr="00774AD0">
          <w:rPr>
            <w:rStyle w:val="Hyperlink"/>
          </w:rPr>
          <w:t>https://www.ncsc.govt.nz/news/rise-in-financial-losses-reported-to-the-ncsc</w:t>
        </w:r>
      </w:hyperlink>
      <w:r w:rsidRPr="00774AD0">
        <w:rPr>
          <w:rStyle w:val="Footer1"/>
          <w:sz w:val="16"/>
        </w:rPr>
        <w:t xml:space="preserve"> </w:t>
      </w:r>
      <w:r w:rsidRPr="00774AD0">
        <w:t xml:space="preserve"> </w:t>
      </w:r>
      <w:r w:rsidRPr="00774AD0">
        <w:rPr>
          <w:rStyle w:val="Footer1"/>
          <w:sz w:val="16"/>
        </w:rPr>
        <w:t xml:space="preserve"> </w:t>
      </w:r>
    </w:p>
  </w:footnote>
  <w:footnote w:id="3">
    <w:p w14:paraId="6383918F" w14:textId="77777777" w:rsidR="00705A1C" w:rsidRPr="00EC6449" w:rsidRDefault="00705A1C" w:rsidP="00774AD0">
      <w:pPr>
        <w:pStyle w:val="FootnoteText"/>
        <w:rPr>
          <w:rStyle w:val="Hyperlink1"/>
          <w:i w:val="0"/>
          <w:color w:val="auto"/>
          <w:szCs w:val="20"/>
          <w:u w:val="none"/>
        </w:rPr>
      </w:pPr>
      <w:r w:rsidRPr="00EC6449">
        <w:rPr>
          <w:rStyle w:val="Footer1"/>
          <w:sz w:val="20"/>
          <w:szCs w:val="20"/>
        </w:rPr>
        <w:footnoteRef/>
      </w:r>
      <w:r w:rsidRPr="00EC6449">
        <w:rPr>
          <w:rStyle w:val="Footer1"/>
          <w:sz w:val="20"/>
          <w:szCs w:val="20"/>
        </w:rPr>
        <w:t xml:space="preserve"> </w:t>
      </w:r>
      <w:r w:rsidRPr="00EC6449">
        <w:rPr>
          <w:rStyle w:val="Footer1"/>
          <w:sz w:val="20"/>
          <w:szCs w:val="20"/>
        </w:rPr>
        <w:tab/>
        <w:t xml:space="preserve">Ipsos. (2024). </w:t>
      </w:r>
      <w:r w:rsidRPr="00EC6449">
        <w:rPr>
          <w:rStyle w:val="Footer1"/>
          <w:i/>
          <w:iCs/>
          <w:sz w:val="20"/>
          <w:szCs w:val="20"/>
        </w:rPr>
        <w:t>2024 National Risks Public Survey</w:t>
      </w:r>
      <w:r w:rsidRPr="00EC6449">
        <w:rPr>
          <w:i/>
          <w:iCs/>
          <w:szCs w:val="20"/>
        </w:rPr>
        <w:t>: All threats &amp; hazards.</w:t>
      </w:r>
      <w:r w:rsidRPr="00EC6449">
        <w:rPr>
          <w:szCs w:val="20"/>
        </w:rPr>
        <w:t xml:space="preserve"> </w:t>
      </w:r>
      <w:hyperlink r:id="rId2" w:history="1">
        <w:r w:rsidRPr="00EC6449">
          <w:rPr>
            <w:rStyle w:val="Hyperlink"/>
            <w:szCs w:val="20"/>
          </w:rPr>
          <w:t>https://www.dpmc.govt.nz/sites/default/files/2024-09/2024-National-Risks-Public-Survey-All-Threats-and-Hazards-Report.pdf</w:t>
        </w:r>
      </w:hyperlink>
    </w:p>
  </w:footnote>
  <w:footnote w:id="4">
    <w:p w14:paraId="49741049" w14:textId="77777777" w:rsidR="00705A1C" w:rsidRPr="00774AD0" w:rsidRDefault="00705A1C" w:rsidP="00774AD0">
      <w:pPr>
        <w:pStyle w:val="FootnoteText"/>
      </w:pPr>
      <w:r w:rsidRPr="00EC6449">
        <w:rPr>
          <w:rStyle w:val="FootnoteReference"/>
          <w:szCs w:val="20"/>
          <w:vertAlign w:val="baseline"/>
        </w:rPr>
        <w:footnoteRef/>
      </w:r>
      <w:r w:rsidRPr="00EC6449">
        <w:rPr>
          <w:szCs w:val="20"/>
        </w:rPr>
        <w:t xml:space="preserve"> </w:t>
      </w:r>
      <w:r w:rsidRPr="00EC6449">
        <w:rPr>
          <w:szCs w:val="20"/>
        </w:rPr>
        <w:tab/>
      </w:r>
      <w:r w:rsidRPr="00BD6159">
        <w:rPr>
          <w:spacing w:val="-2"/>
          <w:szCs w:val="20"/>
        </w:rPr>
        <w:t xml:space="preserve">Department of Prime Minister and Cabinet. (2026). </w:t>
      </w:r>
      <w:r w:rsidRPr="00BD6159">
        <w:rPr>
          <w:i/>
          <w:iCs/>
          <w:spacing w:val="-2"/>
          <w:szCs w:val="20"/>
        </w:rPr>
        <w:t>New Zealand’s Cyber Security Strategy 2026-2030.</w:t>
      </w:r>
      <w:r w:rsidRPr="00BD6159">
        <w:rPr>
          <w:spacing w:val="-2"/>
          <w:szCs w:val="20"/>
        </w:rPr>
        <w:t xml:space="preserve"> </w:t>
      </w:r>
      <w:hyperlink r:id="rId3" w:history="1">
        <w:r w:rsidRPr="00BD6159">
          <w:rPr>
            <w:rStyle w:val="Hyperlink"/>
            <w:spacing w:val="-2"/>
            <w:szCs w:val="20"/>
          </w:rPr>
          <w:t>https://www.dpmc.govt.nz/publications/new-zealands-cyber-security-strategy-2026-2030</w:t>
        </w:r>
      </w:hyperlink>
    </w:p>
  </w:footnote>
  <w:footnote w:id="5">
    <w:p w14:paraId="04A1AB99" w14:textId="5A0BFADA" w:rsidR="00705A1C" w:rsidRPr="00774AD0" w:rsidRDefault="00705A1C" w:rsidP="00774AD0">
      <w:pPr>
        <w:pStyle w:val="FootnoteText"/>
        <w:rPr>
          <w:rStyle w:val="Hyperlink"/>
        </w:rPr>
      </w:pPr>
      <w:r w:rsidRPr="00774AD0">
        <w:rPr>
          <w:rStyle w:val="FootnoteReference"/>
          <w:vertAlign w:val="baseline"/>
        </w:rPr>
        <w:footnoteRef/>
      </w:r>
      <w:r w:rsidRPr="00774AD0">
        <w:t xml:space="preserve"> </w:t>
      </w:r>
      <w:r w:rsidRPr="00774AD0">
        <w:tab/>
        <w:t xml:space="preserve">Cybersecurity and Infrastructure Security Agency. (2024). </w:t>
      </w:r>
      <w:r w:rsidRPr="00774AD0">
        <w:rPr>
          <w:i/>
          <w:iCs/>
        </w:rPr>
        <w:t>PRC state sponsored cyber activity: Actions for critical infrastructure leaders.</w:t>
      </w:r>
      <w:r w:rsidRPr="00774AD0">
        <w:rPr>
          <w:rStyle w:val="Hyperlink1"/>
          <w:i w:val="0"/>
          <w:color w:val="auto"/>
          <w:u w:val="none"/>
        </w:rPr>
        <w:t xml:space="preserve"> </w:t>
      </w:r>
      <w:hyperlink r:id="rId4" w:history="1">
        <w:r w:rsidRPr="00774AD0">
          <w:rPr>
            <w:rStyle w:val="Hyperlink"/>
          </w:rPr>
          <w:t>https://www.cisa.gov/sites/default/files/2024-03/Fact-Sheet-PRC-State-Sponsored-Cyber-Activity-Actions-for-Critical-Infrastructure-Leaders-508c_0.pdf</w:t>
        </w:r>
      </w:hyperlink>
    </w:p>
  </w:footnote>
  <w:footnote w:id="6">
    <w:p w14:paraId="4940AF59" w14:textId="44DFB988" w:rsidR="00705A1C" w:rsidRPr="00774AD0" w:rsidRDefault="00705A1C" w:rsidP="00774AD0">
      <w:pPr>
        <w:pStyle w:val="FootnoteText"/>
        <w:rPr>
          <w:rStyle w:val="Hyperlink"/>
        </w:rPr>
      </w:pPr>
      <w:r w:rsidRPr="00774AD0">
        <w:rPr>
          <w:rStyle w:val="FootnoteReference"/>
          <w:vertAlign w:val="baseline"/>
        </w:rPr>
        <w:footnoteRef/>
      </w:r>
      <w:r w:rsidRPr="00774AD0">
        <w:t xml:space="preserve"> </w:t>
      </w:r>
      <w:r w:rsidRPr="00774AD0">
        <w:tab/>
        <w:t xml:space="preserve">Parmar, B. (2024). </w:t>
      </w:r>
      <w:r w:rsidRPr="00774AD0">
        <w:rPr>
          <w:i/>
          <w:iCs/>
        </w:rPr>
        <w:t>Improving cyber defence for critical national infrastructure in New Zealand</w:t>
      </w:r>
      <w:r w:rsidRPr="00774AD0">
        <w:t xml:space="preserve"> (Master’s thesis). The</w:t>
      </w:r>
      <w:r w:rsidR="00774AD0">
        <w:t> </w:t>
      </w:r>
      <w:r w:rsidRPr="00774AD0">
        <w:t xml:space="preserve">University of Waikato. </w:t>
      </w:r>
      <w:r w:rsidRPr="00774AD0">
        <w:rPr>
          <w:rStyle w:val="Hyperlink"/>
        </w:rPr>
        <w:t>https://researchcommons.waikato.ac.nz/server/api/core/bitstreams/d1c6b6b7-3c26-4c3c-a0aa-f603fa960334/content</w:t>
      </w:r>
    </w:p>
  </w:footnote>
  <w:footnote w:id="7">
    <w:p w14:paraId="5193CDF6" w14:textId="77777777" w:rsidR="00705A1C" w:rsidRPr="002E2659" w:rsidRDefault="00705A1C" w:rsidP="0045774C">
      <w:pPr>
        <w:pStyle w:val="FootnoteText"/>
      </w:pPr>
      <w:r w:rsidRPr="0045774C">
        <w:footnoteRef/>
      </w:r>
      <w:r w:rsidRPr="0045774C">
        <w:t xml:space="preserve"> </w:t>
      </w:r>
      <w:r w:rsidRPr="0045774C">
        <w:tab/>
        <w:t>The Deposit Takers Act 2023 is currently planned to come into effect in 2028. The RBNZ will issue standards including</w:t>
      </w:r>
      <w:r w:rsidRPr="002E2659">
        <w:t xml:space="preserve"> relating to operational resilience and risk management. </w:t>
      </w:r>
    </w:p>
  </w:footnote>
  <w:footnote w:id="8">
    <w:p w14:paraId="2E512E09" w14:textId="5A76CBAF" w:rsidR="00705A1C" w:rsidRPr="00384995" w:rsidRDefault="00705A1C" w:rsidP="00705A1C">
      <w:pPr>
        <w:pStyle w:val="FootnoteText"/>
        <w:rPr>
          <w:rStyle w:val="Hyperlink"/>
        </w:rPr>
      </w:pPr>
      <w:r w:rsidRPr="00384995">
        <w:footnoteRef/>
      </w:r>
      <w:r w:rsidRPr="00384995">
        <w:t xml:space="preserve"> </w:t>
      </w:r>
      <w:r w:rsidRPr="00384995">
        <w:tab/>
        <w:t>e-Governance</w:t>
      </w:r>
      <w:r w:rsidRPr="0010592E">
        <w:rPr>
          <w:szCs w:val="14"/>
        </w:rPr>
        <w:t xml:space="preserve"> Academy of Estonia</w:t>
      </w:r>
      <w:r>
        <w:rPr>
          <w:szCs w:val="14"/>
        </w:rPr>
        <w:t xml:space="preserve">. (2025). </w:t>
      </w:r>
      <w:r>
        <w:rPr>
          <w:i/>
          <w:iCs/>
          <w:szCs w:val="14"/>
        </w:rPr>
        <w:t>National Cyber Security Index</w:t>
      </w:r>
      <w:r>
        <w:rPr>
          <w:szCs w:val="14"/>
        </w:rPr>
        <w:t xml:space="preserve"> </w:t>
      </w:r>
      <w:r>
        <w:rPr>
          <w:i/>
          <w:iCs/>
          <w:szCs w:val="14"/>
        </w:rPr>
        <w:t>– Countries.</w:t>
      </w:r>
      <w:r w:rsidRPr="00997A20">
        <w:rPr>
          <w:color w:val="467886"/>
          <w:szCs w:val="14"/>
        </w:rPr>
        <w:t xml:space="preserve"> </w:t>
      </w:r>
      <w:r w:rsidR="00384995">
        <w:rPr>
          <w:color w:val="467886"/>
          <w:szCs w:val="14"/>
        </w:rPr>
        <w:br/>
      </w:r>
      <w:hyperlink r:id="rId5" w:history="1">
        <w:r w:rsidR="00384995" w:rsidRPr="007A1348">
          <w:rPr>
            <w:rStyle w:val="Hyperlink"/>
          </w:rPr>
          <w:t>https://ncsi.ega.ee/ncsi-index/?order=rank&amp;type=c</w:t>
        </w:r>
      </w:hyperlink>
    </w:p>
  </w:footnote>
  <w:footnote w:id="9">
    <w:p w14:paraId="7B5FD6AC" w14:textId="5868BAD1" w:rsidR="00705A1C" w:rsidRPr="00384995" w:rsidRDefault="00705A1C" w:rsidP="00705A1C">
      <w:pPr>
        <w:pStyle w:val="FootnoteText"/>
        <w:rPr>
          <w:rStyle w:val="Hyperlink"/>
        </w:rPr>
      </w:pPr>
      <w:r w:rsidRPr="00384995">
        <w:footnoteRef/>
      </w:r>
      <w:r w:rsidRPr="00384995">
        <w:t xml:space="preserve"> </w:t>
      </w:r>
      <w:r w:rsidRPr="00384995">
        <w:tab/>
        <w:t>New Zealand</w:t>
      </w:r>
      <w:r w:rsidRPr="00C729E1">
        <w:rPr>
          <w:szCs w:val="15"/>
        </w:rPr>
        <w:t xml:space="preserve"> is the only developed economy listed in Tier 3. See International Telecommunication Union</w:t>
      </w:r>
      <w:r>
        <w:rPr>
          <w:szCs w:val="15"/>
        </w:rPr>
        <w:t>.</w:t>
      </w:r>
      <w:r w:rsidRPr="00C729E1">
        <w:rPr>
          <w:szCs w:val="15"/>
        </w:rPr>
        <w:t xml:space="preserve"> (2024)</w:t>
      </w:r>
      <w:r>
        <w:rPr>
          <w:szCs w:val="15"/>
        </w:rPr>
        <w:t>.</w:t>
      </w:r>
      <w:r w:rsidRPr="00C729E1">
        <w:rPr>
          <w:szCs w:val="15"/>
        </w:rPr>
        <w:t xml:space="preserve"> </w:t>
      </w:r>
      <w:r w:rsidRPr="00C729E1">
        <w:rPr>
          <w:i/>
          <w:iCs/>
          <w:szCs w:val="15"/>
        </w:rPr>
        <w:t>Global Cyber Security Index 2024</w:t>
      </w:r>
      <w:r w:rsidRPr="00C729E1">
        <w:rPr>
          <w:szCs w:val="15"/>
        </w:rPr>
        <w:t xml:space="preserve">. </w:t>
      </w:r>
      <w:hyperlink r:id="rId6" w:history="1">
        <w:r w:rsidRPr="00384995">
          <w:rPr>
            <w:rStyle w:val="Hyperlink"/>
          </w:rPr>
          <w:t>https://www.itu.int/epublications/publication/global-cybersecurity-index-2024</w:t>
        </w:r>
      </w:hyperlink>
    </w:p>
  </w:footnote>
  <w:footnote w:id="10">
    <w:p w14:paraId="26BB88A9" w14:textId="77777777" w:rsidR="00705A1C" w:rsidRPr="00BD7334" w:rsidRDefault="00705A1C" w:rsidP="00705A1C">
      <w:pPr>
        <w:pStyle w:val="FootnoteText"/>
        <w:rPr>
          <w:rStyle w:val="Hyperlink"/>
        </w:rPr>
      </w:pPr>
      <w:r w:rsidRPr="00BD7334">
        <w:footnoteRef/>
      </w:r>
      <w:r w:rsidRPr="00BD7334">
        <w:t xml:space="preserve"> </w:t>
      </w:r>
      <w:r w:rsidRPr="00BD7334">
        <w:tab/>
        <w:t>DPMC</w:t>
      </w:r>
      <w:r w:rsidRPr="006D662D">
        <w:rPr>
          <w:rFonts w:eastAsia="Calibri"/>
          <w:color w:val="191919"/>
          <w:spacing w:val="-1"/>
          <w:szCs w:val="14"/>
        </w:rPr>
        <w:t>. (2024)</w:t>
      </w:r>
      <w:r>
        <w:rPr>
          <w:rFonts w:eastAsia="Calibri"/>
          <w:color w:val="191919"/>
          <w:spacing w:val="-1"/>
          <w:szCs w:val="14"/>
        </w:rPr>
        <w:t>.</w:t>
      </w:r>
      <w:r w:rsidRPr="006D662D">
        <w:rPr>
          <w:rFonts w:eastAsia="Calibri"/>
          <w:color w:val="191919"/>
          <w:spacing w:val="-1"/>
          <w:szCs w:val="14"/>
        </w:rPr>
        <w:t xml:space="preserve"> </w:t>
      </w:r>
      <w:r w:rsidRPr="006D662D">
        <w:rPr>
          <w:rFonts w:eastAsia="Calibri"/>
          <w:i/>
          <w:iCs/>
          <w:color w:val="191919"/>
          <w:spacing w:val="-1"/>
          <w:szCs w:val="14"/>
        </w:rPr>
        <w:t>Critical infrastructure phase 1 consultation</w:t>
      </w:r>
      <w:r w:rsidRPr="00BD7334">
        <w:rPr>
          <w:rStyle w:val="Hyperlink"/>
        </w:rPr>
        <w:t xml:space="preserve">. </w:t>
      </w:r>
      <w:hyperlink r:id="rId7" w:history="1">
        <w:r w:rsidRPr="00BD7334">
          <w:rPr>
            <w:rStyle w:val="Hyperlink"/>
          </w:rPr>
          <w:t>https://consultation.dpmc.govt.nz/national-security-group/critical-infrastucture-phase-1-public-consultation/</w:t>
        </w:r>
      </w:hyperlink>
    </w:p>
  </w:footnote>
  <w:footnote w:id="11">
    <w:p w14:paraId="03767EC2" w14:textId="77777777" w:rsidR="00705A1C" w:rsidRPr="00093091" w:rsidRDefault="00705A1C" w:rsidP="00705A1C">
      <w:pPr>
        <w:pStyle w:val="FootnoteText"/>
      </w:pPr>
      <w:r w:rsidRPr="00BD7334">
        <w:footnoteRef/>
      </w:r>
      <w:r w:rsidRPr="00BD7334">
        <w:tab/>
        <w:t>Department</w:t>
      </w:r>
      <w:r w:rsidRPr="00261334">
        <w:rPr>
          <w:szCs w:val="14"/>
        </w:rPr>
        <w:t xml:space="preserve"> of Home Affairs</w:t>
      </w:r>
      <w:r>
        <w:rPr>
          <w:szCs w:val="14"/>
        </w:rPr>
        <w:t>. (</w:t>
      </w:r>
      <w:r w:rsidRPr="00261334">
        <w:rPr>
          <w:szCs w:val="14"/>
        </w:rPr>
        <w:t>2022</w:t>
      </w:r>
      <w:r>
        <w:rPr>
          <w:szCs w:val="14"/>
        </w:rPr>
        <w:t>).</w:t>
      </w:r>
      <w:r w:rsidRPr="002E2659">
        <w:rPr>
          <w:szCs w:val="14"/>
        </w:rPr>
        <w:t xml:space="preserve"> </w:t>
      </w:r>
      <w:r w:rsidRPr="00EE1D73">
        <w:rPr>
          <w:i/>
          <w:szCs w:val="14"/>
        </w:rPr>
        <w:t xml:space="preserve">Regulation </w:t>
      </w:r>
      <w:r>
        <w:rPr>
          <w:i/>
          <w:szCs w:val="14"/>
        </w:rPr>
        <w:t>i</w:t>
      </w:r>
      <w:r w:rsidRPr="00EE1D73">
        <w:rPr>
          <w:i/>
          <w:szCs w:val="14"/>
        </w:rPr>
        <w:t xml:space="preserve">mpact </w:t>
      </w:r>
      <w:r>
        <w:rPr>
          <w:i/>
          <w:szCs w:val="14"/>
        </w:rPr>
        <w:t>s</w:t>
      </w:r>
      <w:r w:rsidRPr="00EE1D73">
        <w:rPr>
          <w:i/>
          <w:szCs w:val="14"/>
        </w:rPr>
        <w:t>tatement: a risk management program framework for critical infrastructure asset</w:t>
      </w:r>
      <w:r>
        <w:rPr>
          <w:i/>
          <w:szCs w:val="14"/>
        </w:rPr>
        <w:t>s</w:t>
      </w:r>
      <w:r w:rsidRPr="00261334">
        <w:rPr>
          <w:szCs w:val="14"/>
        </w:rPr>
        <w:t xml:space="preserve">. </w:t>
      </w:r>
      <w:hyperlink r:id="rId8" w:anchor="page=32&amp;zoom=100,72,544" w:history="1">
        <w:r w:rsidRPr="00BD7334">
          <w:rPr>
            <w:rStyle w:val="Hyperlink"/>
          </w:rPr>
          <w:t>https://oia.pmc.gov.au/sites/default/files/posts/2023/02/Impact%20Analysis.pdf</w:t>
        </w:r>
      </w:hyperlink>
      <w:r w:rsidRPr="002E2659">
        <w:rPr>
          <w:rStyle w:val="Hyperlink"/>
          <w:sz w:val="14"/>
          <w:szCs w:val="14"/>
        </w:rPr>
        <w:t xml:space="preserve"> </w:t>
      </w:r>
    </w:p>
  </w:footnote>
  <w:footnote w:id="12">
    <w:p w14:paraId="73E99743" w14:textId="77777777" w:rsidR="00705A1C" w:rsidRPr="00AC0D3B" w:rsidRDefault="00705A1C" w:rsidP="00705A1C">
      <w:pPr>
        <w:pStyle w:val="FootnoteText"/>
        <w:rPr>
          <w:color w:val="505669"/>
        </w:rPr>
      </w:pPr>
      <w:r w:rsidRPr="00BD7334">
        <w:footnoteRef/>
      </w:r>
      <w:r w:rsidRPr="00BD7334">
        <w:t xml:space="preserve"> </w:t>
      </w:r>
      <w:r w:rsidRPr="00BD7334">
        <w:tab/>
        <w:t>Definitions</w:t>
      </w:r>
      <w:r w:rsidRPr="00FE3CFF">
        <w:rPr>
          <w:szCs w:val="14"/>
        </w:rPr>
        <w:t xml:space="preserve"> of essential services and essential infrastructure are included in the Emergency Management Bill</w:t>
      </w:r>
      <w:r>
        <w:rPr>
          <w:szCs w:val="14"/>
        </w:rPr>
        <w:t>, s</w:t>
      </w:r>
      <w:r w:rsidRPr="00FE3CFF">
        <w:rPr>
          <w:szCs w:val="14"/>
        </w:rPr>
        <w:t xml:space="preserve">ee: </w:t>
      </w:r>
      <w:hyperlink r:id="rId9" w:history="1">
        <w:r w:rsidRPr="00BD7334">
          <w:rPr>
            <w:rStyle w:val="Hyperlink"/>
          </w:rPr>
          <w:t>https://legislation.govt.nz/bill/government/2025/0236/latest/LMS1022328.html</w:t>
        </w:r>
      </w:hyperlink>
      <w:r w:rsidRPr="00BD7334">
        <w:rPr>
          <w:rStyle w:val="Hyperlink"/>
        </w:rPr>
        <w:t>.</w:t>
      </w:r>
    </w:p>
  </w:footnote>
  <w:footnote w:id="13">
    <w:p w14:paraId="635CEDC8" w14:textId="77777777" w:rsidR="00705A1C" w:rsidRDefault="00705A1C" w:rsidP="00705A1C">
      <w:pPr>
        <w:pStyle w:val="FootnoteText"/>
      </w:pPr>
      <w:r w:rsidRPr="00BD7334">
        <w:footnoteRef/>
      </w:r>
      <w:r w:rsidRPr="00BD7334">
        <w:t xml:space="preserve"> </w:t>
      </w:r>
      <w:r w:rsidRPr="00BD7334">
        <w:tab/>
        <w:t>The Minister</w:t>
      </w:r>
      <w:r w:rsidRPr="000F3A01">
        <w:t xml:space="preserve"> with responsibility for the proposed regime. This portfolio allocation has not yet been made</w:t>
      </w:r>
      <w:r>
        <w:t xml:space="preserve">. </w:t>
      </w:r>
    </w:p>
  </w:footnote>
  <w:footnote w:id="14">
    <w:p w14:paraId="7F1B0903" w14:textId="77777777" w:rsidR="00705A1C" w:rsidRDefault="00705A1C" w:rsidP="00705A1C">
      <w:pPr>
        <w:pStyle w:val="FootnoteText"/>
      </w:pPr>
      <w:r w:rsidRPr="003830B8">
        <w:footnoteRef/>
      </w:r>
      <w:r w:rsidRPr="003830B8">
        <w:t xml:space="preserve"> </w:t>
      </w:r>
      <w:r w:rsidRPr="003830B8">
        <w:tab/>
        <w:t>The</w:t>
      </w:r>
      <w:r>
        <w:t xml:space="preserve"> scope of this definition is proposed to align with </w:t>
      </w:r>
      <w:r w:rsidRPr="00FE3CFF">
        <w:t>definitions introduced through the Emergency Management Bill</w:t>
      </w:r>
      <w:r>
        <w:t xml:space="preserve">, see </w:t>
      </w:r>
      <w:hyperlink r:id="rId10" w:history="1">
        <w:r w:rsidRPr="0054764B">
          <w:rPr>
            <w:rStyle w:val="Hyperlink"/>
            <w:szCs w:val="14"/>
          </w:rPr>
          <w:t>https://legislation.govt.nz/bill/government/2025/0236/latest/LMS1022328.html</w:t>
        </w:r>
      </w:hyperlink>
      <w:r>
        <w:rPr>
          <w:szCs w:val="14"/>
        </w:rPr>
        <w:t>.</w:t>
      </w:r>
    </w:p>
  </w:footnote>
  <w:footnote w:id="15">
    <w:p w14:paraId="7851DEDC" w14:textId="040A1A61" w:rsidR="00F63607" w:rsidRDefault="00F63607">
      <w:pPr>
        <w:pStyle w:val="FootnoteText"/>
      </w:pPr>
      <w:r w:rsidRPr="00F63607">
        <w:footnoteRef/>
      </w:r>
      <w:r w:rsidRPr="00F63607">
        <w:t xml:space="preserve"> </w:t>
      </w:r>
      <w:r>
        <w:tab/>
      </w:r>
      <w:r w:rsidRPr="00F63607">
        <w:t>Decisions at to the entity(s) who would have responsibilities as the critical infrastructure regulator(s) have not been taken.</w:t>
      </w:r>
    </w:p>
  </w:footnote>
  <w:footnote w:id="16">
    <w:p w14:paraId="68F42F82" w14:textId="77777777" w:rsidR="00705A1C" w:rsidRPr="00093091" w:rsidRDefault="00705A1C" w:rsidP="00705A1C">
      <w:pPr>
        <w:pStyle w:val="Footendnotes"/>
        <w:tabs>
          <w:tab w:val="clear" w:pos="284"/>
        </w:tabs>
      </w:pPr>
      <w:r w:rsidRPr="00803A73">
        <w:rPr>
          <w:rStyle w:val="FootnoteTextChar"/>
        </w:rPr>
        <w:footnoteRef/>
      </w:r>
      <w:r w:rsidRPr="00803A73">
        <w:rPr>
          <w:rStyle w:val="FootnoteTextChar"/>
        </w:rPr>
        <w:t xml:space="preserve"> </w:t>
      </w:r>
      <w:r w:rsidRPr="00803A73">
        <w:rPr>
          <w:rStyle w:val="FootnoteTextChar"/>
        </w:rPr>
        <w:tab/>
        <w:t>This threshold is based on the categorisation of cyber security incidents in the New Zealand Information Security Manual section 7.2.14. It will likely be for entities to determine what constitutes serious impact through the application of a reasonable person test</w:t>
      </w:r>
      <w:r w:rsidRPr="00D52F11">
        <w:rPr>
          <w:sz w:val="15"/>
          <w:szCs w:val="15"/>
        </w:rPr>
        <w:t>.</w:t>
      </w:r>
      <w:r w:rsidRPr="00D52F11">
        <w:rPr>
          <w:color w:val="505669"/>
          <w:sz w:val="15"/>
          <w:szCs w:val="15"/>
        </w:rPr>
        <w:t xml:space="preserve"> </w:t>
      </w:r>
      <w:hyperlink r:id="rId11" w:anchor="Section-13120" w:history="1">
        <w:r w:rsidRPr="008C7871">
          <w:rPr>
            <w:rStyle w:val="Hyperlink"/>
            <w:sz w:val="20"/>
            <w:szCs w:val="20"/>
          </w:rPr>
          <w:t>https://nzism.gcsb.govt.nz/ism-document#Section-13120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3353C" w14:textId="33AB6CED" w:rsidR="00864928" w:rsidRDefault="00864928" w:rsidP="004207CD">
    <w:r w:rsidRPr="00A80E78">
      <w:rPr>
        <w:noProof/>
      </w:rPr>
      <mc:AlternateContent>
        <mc:Choice Requires="wpg">
          <w:drawing>
            <wp:anchor distT="0" distB="0" distL="114300" distR="114300" simplePos="0" relativeHeight="251658262" behindDoc="0" locked="0" layoutInCell="0" allowOverlap="0" wp14:anchorId="3DAF2EF8" wp14:editId="47EA4AD4">
              <wp:simplePos x="0" y="0"/>
              <wp:positionH relativeFrom="margin">
                <wp:align>left</wp:align>
              </wp:positionH>
              <wp:positionV relativeFrom="page">
                <wp:posOffset>683895</wp:posOffset>
              </wp:positionV>
              <wp:extent cx="504000" cy="108000"/>
              <wp:effectExtent l="0" t="0" r="10795" b="25400"/>
              <wp:wrapNone/>
              <wp:docPr id="1742194564" name="Group 17421945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04000" cy="108000"/>
                        <a:chOff x="1128" y="641"/>
                        <a:chExt cx="2286" cy="490"/>
                      </a:xfrm>
                    </wpg:grpSpPr>
                    <wps:wsp>
                      <wps:cNvPr id="1383138336" name="Rectangle 1383138336"/>
                      <wps:cNvSpPr>
                        <a:spLocks noChangeAspect="1" noChangeArrowheads="1"/>
                      </wps:cNvSpPr>
                      <wps:spPr bwMode="auto">
                        <a:xfrm>
                          <a:off x="1128" y="641"/>
                          <a:ext cx="490" cy="490"/>
                        </a:xfrm>
                        <a:prstGeom prst="rect">
                          <a:avLst/>
                        </a:prstGeom>
                        <a:solidFill>
                          <a:srgbClr val="1F5B9A"/>
                        </a:solidFill>
                        <a:ln w="0" cap="rnd">
                          <a:solidFill>
                            <a:srgbClr val="000000">
                              <a:alpha val="0"/>
                            </a:srgbClr>
                          </a:solidFill>
                          <a:prstDash val="sysDot"/>
                          <a:miter lim="800000"/>
                          <a:headEnd/>
                          <a:tailEnd/>
                        </a:ln>
                      </wps:spPr>
                      <wps:bodyPr rot="0" vert="horz" wrap="square" lIns="91440" tIns="45720" rIns="91440" bIns="45720" anchor="t" anchorCtr="0" upright="1">
                        <a:noAutofit/>
                      </wps:bodyPr>
                    </wps:wsp>
                    <wps:wsp>
                      <wps:cNvPr id="800689040" name="Rectangle 800689040"/>
                      <wps:cNvSpPr>
                        <a:spLocks noChangeAspect="1" noChangeArrowheads="1"/>
                      </wps:cNvSpPr>
                      <wps:spPr bwMode="auto">
                        <a:xfrm>
                          <a:off x="1726" y="641"/>
                          <a:ext cx="490" cy="490"/>
                        </a:xfrm>
                        <a:prstGeom prst="rect">
                          <a:avLst/>
                        </a:prstGeom>
                        <a:solidFill>
                          <a:srgbClr val="EC008C"/>
                        </a:solidFill>
                        <a:ln w="0" cap="rnd">
                          <a:solidFill>
                            <a:srgbClr val="000000">
                              <a:alpha val="0"/>
                            </a:srgbClr>
                          </a:solidFill>
                          <a:prstDash val="sysDot"/>
                          <a:miter lim="800000"/>
                          <a:headEnd/>
                          <a:tailEnd/>
                        </a:ln>
                      </wps:spPr>
                      <wps:bodyPr rot="0" vert="horz" wrap="square" lIns="91440" tIns="45720" rIns="91440" bIns="45720" anchor="t" anchorCtr="0" upright="1">
                        <a:noAutofit/>
                      </wps:bodyPr>
                    </wps:wsp>
                    <wps:wsp>
                      <wps:cNvPr id="70289299" name="Rectangle 70289299"/>
                      <wps:cNvSpPr>
                        <a:spLocks noChangeAspect="1" noChangeArrowheads="1"/>
                      </wps:cNvSpPr>
                      <wps:spPr bwMode="auto">
                        <a:xfrm>
                          <a:off x="2325" y="641"/>
                          <a:ext cx="490" cy="490"/>
                        </a:xfrm>
                        <a:prstGeom prst="rect">
                          <a:avLst/>
                        </a:prstGeom>
                        <a:solidFill>
                          <a:srgbClr val="5B286F"/>
                        </a:solidFill>
                        <a:ln w="0" cap="rnd">
                          <a:solidFill>
                            <a:srgbClr val="000000">
                              <a:alpha val="0"/>
                            </a:srgbClr>
                          </a:solidFill>
                          <a:prstDash val="sysDot"/>
                          <a:miter lim="800000"/>
                          <a:headEnd/>
                          <a:tailEnd/>
                        </a:ln>
                      </wps:spPr>
                      <wps:bodyPr rot="0" vert="horz" wrap="square" lIns="91440" tIns="45720" rIns="91440" bIns="45720" anchor="t" anchorCtr="0" upright="1">
                        <a:noAutofit/>
                      </wps:bodyPr>
                    </wps:wsp>
                    <wps:wsp>
                      <wps:cNvPr id="572291309" name="Rectangle 572291309"/>
                      <wps:cNvSpPr>
                        <a:spLocks noChangeAspect="1" noChangeArrowheads="1"/>
                      </wps:cNvSpPr>
                      <wps:spPr bwMode="auto">
                        <a:xfrm>
                          <a:off x="2924" y="641"/>
                          <a:ext cx="490" cy="490"/>
                        </a:xfrm>
                        <a:prstGeom prst="rect">
                          <a:avLst/>
                        </a:prstGeom>
                        <a:solidFill>
                          <a:srgbClr val="00ABC5"/>
                        </a:solidFill>
                        <a:ln w="0" cap="rnd">
                          <a:solidFill>
                            <a:srgbClr val="000000">
                              <a:alpha val="0"/>
                            </a:srgbClr>
                          </a:solidFill>
                          <a:prstDash val="sysDot"/>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45A7B" id="Group 1742194564" o:spid="_x0000_s1026" style="position:absolute;margin-left:0;margin-top:53.85pt;width:39.7pt;height:8.5pt;z-index:251658262;mso-position-horizontal:left;mso-position-horizontal-relative:margin;mso-position-vertical-relative:page" coordorigin="1128,641" coordsize="2286,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rdHAMAAAYPAAAOAAAAZHJzL2Uyb0RvYy54bWzsV8lu2zAQvRfoPxC8N1q8xBIiB44dBwXS&#10;NmjaD6ApakElUiVpy+7Xd0h6Ue0GBVIgBtocJJAacTjz3ryReHW9riu0YlKVgic4uPAxYpyKtOR5&#10;gr9+mb8bYaQ04SmpBGcJ3jCFr8dv31y1TcxCUYgqZRKBE67itklwoXUTe56iBauJuhAN42DMhKyJ&#10;hqnMvVSSFrzXlRf6/tBrhUwbKShTCp7OnBGPrf8sY1R/yjLFNKoSDLFpe5f2vjB3b3xF4lySpijp&#10;NgzyjChqUnLYdO9qRjRBS1meuKpLKoUSmb6govZElpWU2Rwgm8A/yuZOimVjc8njNm/2MAG0Rzg9&#10;2y39uLqTzWPzIF30MLwX9JtCXEwLwnM2UQ2ACNQaqLy2yePuEjPP3Xq0aD+IFCgmSy0sFutM1sYr&#10;ZInWFvLNHnK21ojCw4Hf930ghoIp8EdmbCmhBfBmVgVBCCUE1mHfhkBiWtxuF4fhaOiW9iO7ziOx&#10;29QGug3M1AIUlzrgp/4Ov8eCNMzSogwYDxKVKQTaG/XM1YOQOKkBiM8AHEBYMdSxQXYmHFi3A109&#10;ifiBBClFWzCSQuQ7Ijo+jEMFFP6RglMwdzwYAC0Jx0iSuJFK3zFRIzNIsISsLL1kda+0KYrDK4Zt&#10;JaoynZdVZScyX0wriVYE9BfMBzfRxNbR0WsVR60tEEqgB0ie2g2e9gRlYirF7ECqpiDO/64ElNvU&#10;RvaLD5PAjKjCva42aia0K7e61NCGqrJOsKnBXRUayG95aitSk7JyY0i44lYMDnbH6EKkG6BACtdj&#10;oCfCoBDyB0Yt9JcEq+9LIhlG1XsONEZBv28akp30B5chTGTXsuhaCKfgKsEaIzecatfElo0s8wJ2&#10;CiwaXExAfVlpeTFl4aLaBgsaeCExAIjDUQTaPtXCwXReKVyGINRuX3lJKdxOfX80fZVCt+D/USlc&#10;+uEoCqPoVAl7y1mFEPbCwfmEMLiBb/j8VQj/gRDgGxdGQc//jRIOpvNKIQr755OC709upoNXKZxX&#10;CvbkAIct+/e4PRia01x3bn+nDsfX8U8AAAD//wMAUEsDBBQABgAIAAAAIQC/bzPy3gAAAAcBAAAP&#10;AAAAZHJzL2Rvd25yZXYueG1sTI9BS8NAEIXvgv9hGcGb3aRWozGbUop6KgVbQbxNk2kSmp0N2W2S&#10;/nvHkx7fe8N732TLybZqoN43jg3EswgUceHKhisDn/u3uydQPiCX2DomAxfysMyvrzJMSzfyBw27&#10;UCkpYZ+igTqELtXaFzVZ9DPXEUt2dL3FILKvdNnjKOW21fMoetQWG5aFGjta11Scdmdr4H3EcXUf&#10;vw6b03F9+d4/bL82MRlzezOtXkAFmsLfMfziCzrkwnRwZy69ag3II0HcKElASZw8L0AdxJgvEtB5&#10;pv/z5z8AAAD//wMAUEsBAi0AFAAGAAgAAAAhALaDOJL+AAAA4QEAABMAAAAAAAAAAAAAAAAAAAAA&#10;AFtDb250ZW50X1R5cGVzXS54bWxQSwECLQAUAAYACAAAACEAOP0h/9YAAACUAQAACwAAAAAAAAAA&#10;AAAAAAAvAQAAX3JlbHMvLnJlbHNQSwECLQAUAAYACAAAACEAgKna3RwDAAAGDwAADgAAAAAAAAAA&#10;AAAAAAAuAgAAZHJzL2Uyb0RvYy54bWxQSwECLQAUAAYACAAAACEAv28z8t4AAAAHAQAADwAAAAAA&#10;AAAAAAAAAAB2BQAAZHJzL2Rvd25yZXYueG1sUEsFBgAAAAAEAAQA8wAAAIEGAAAAAA==&#10;" o:allowincell="f" o:allowoverlap="f">
              <o:lock v:ext="edit" aspectratio="t"/>
              <v:rect id="Rectangle 1383138336" o:spid="_x0000_s1027" style="position:absolute;left:1128;top:641;width:49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4LyQAAAOMAAAAPAAAAZHJzL2Rvd25yZXYueG1sRE/BagIx&#10;EL0L/YcwBW+a1BVZtkapglJ6Kdr2Pt1Ms8tuJssm6rZfb4SCh3eYefPem7dcD64VZ+pD7VnD01SB&#10;IC69qdlq+PzYTXIQISIbbD2Thl8KsF49jJZYGH/hA52P0YpkwqFADVWMXSFlKCtyGKa+I07cj+8d&#10;xjT2VpoeL8nctXKm1EI6rDklVNjRtqKyOZ6chpN9/9qo+UHZ/Tb+zeq8Kd++G63Hj8PLM4hIQ7wf&#10;/6tfTXo/y7MbsgXcOqUFyNUVAAD//wMAUEsBAi0AFAAGAAgAAAAhANvh9svuAAAAhQEAABMAAAAA&#10;AAAAAAAAAAAAAAAAAFtDb250ZW50X1R5cGVzXS54bWxQSwECLQAUAAYACAAAACEAWvQsW78AAAAV&#10;AQAACwAAAAAAAAAAAAAAAAAfAQAAX3JlbHMvLnJlbHNQSwECLQAUAAYACAAAACEADhiOC8kAAADj&#10;AAAADwAAAAAAAAAAAAAAAAAHAgAAZHJzL2Rvd25yZXYueG1sUEsFBgAAAAADAAMAtwAAAP0CAAAA&#10;AA==&#10;" fillcolor="#1f5b9a" strokeweight="0">
                <v:stroke dashstyle="1 1" opacity="0" endcap="round"/>
                <o:lock v:ext="edit" aspectratio="t"/>
              </v:rect>
              <v:rect id="Rectangle 800689040" o:spid="_x0000_s1028" style="position:absolute;left:1726;top:641;width:49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HxyyAAAAOIAAAAPAAAAZHJzL2Rvd25yZXYueG1sRI9Ba8JA&#10;EIXvhf6HZQq9FN20SI3RVYrQ0ps0tp6H7JgEs7Nhd43x33cOgsfhzfse32ozuk4NFGLr2cDrNANF&#10;XHnbcm3gd/85yUHFhGyx80wGrhRhs358WGFh/YV/aChTrQTCsUADTUp9oXWsGnIYp74nluzog8Mk&#10;Z6i1DXgRuOv0W5a9a4cty0KDPW0bqk7l2Rn4+7Lz/GU3BFzUtjwe+va6P2+NeX4aP5agEo3p/nxr&#10;f1sDuRDzRTYTCVESHdDrfwAAAP//AwBQSwECLQAUAAYACAAAACEA2+H2y+4AAACFAQAAEwAAAAAA&#10;AAAAAAAAAAAAAAAAW0NvbnRlbnRfVHlwZXNdLnhtbFBLAQItABQABgAIAAAAIQBa9CxbvwAAABUB&#10;AAALAAAAAAAAAAAAAAAAAB8BAABfcmVscy8ucmVsc1BLAQItABQABgAIAAAAIQA5FHxyyAAAAOIA&#10;AAAPAAAAAAAAAAAAAAAAAAcCAABkcnMvZG93bnJldi54bWxQSwUGAAAAAAMAAwC3AAAA/AIAAAAA&#10;" fillcolor="#ec008c" strokeweight="0">
                <v:stroke dashstyle="1 1" opacity="0" endcap="round"/>
                <o:lock v:ext="edit" aspectratio="t"/>
              </v:rect>
              <v:rect id="Rectangle 70289299" o:spid="_x0000_s1029" style="position:absolute;left:2325;top:641;width:49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pqygAAAOEAAAAPAAAAZHJzL2Rvd25yZXYueG1sRI9PS8NA&#10;FMTvgt9heYI3u9tA/yR2W9qAWBBB0x48PrLPZDH7NmTXJv32riB4HGbmN8xmN7lOXGgI1rOG+UyB&#10;IK69sdxoOJ+eHtYgQkQ22HkmDVcKsNve3mywMH7kd7pUsREJwqFADW2MfSFlqFtyGGa+J07epx8c&#10;xiSHRpoBxwR3ncyUWkqHltNCiz2VLdVf1bfTUGXl8eN1PtqFej7Y8e26WpTLF63v76b9I4hIU/wP&#10;/7WPRsNKZes8y3P4fZTegNz+AAAA//8DAFBLAQItABQABgAIAAAAIQDb4fbL7gAAAIUBAAATAAAA&#10;AAAAAAAAAAAAAAAAAABbQ29udGVudF9UeXBlc10ueG1sUEsBAi0AFAAGAAgAAAAhAFr0LFu/AAAA&#10;FQEAAAsAAAAAAAAAAAAAAAAAHwEAAF9yZWxzLy5yZWxzUEsBAi0AFAAGAAgAAAAhAEQiKmrKAAAA&#10;4QAAAA8AAAAAAAAAAAAAAAAABwIAAGRycy9kb3ducmV2LnhtbFBLBQYAAAAAAwADALcAAAD+AgAA&#10;AAA=&#10;" fillcolor="#5b286f" strokeweight="0">
                <v:stroke dashstyle="1 1" opacity="0" endcap="round"/>
                <o:lock v:ext="edit" aspectratio="t"/>
              </v:rect>
              <v:rect id="Rectangle 572291309" o:spid="_x0000_s1030" style="position:absolute;left:2924;top:641;width:49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d4ygAAAOIAAAAPAAAAZHJzL2Rvd25yZXYueG1sRI/NasMw&#10;EITvhbyD2EBvjWQn/YkbJYRAoVAINGnvi7W1TKyVIymx+/ZVodDjMDPfMKvN6DpxpRBbzxqKmQJB&#10;XHvTcqPh4/hy9wQiJmSDnWfS8E0RNuvJzQor4wd+p+shNSJDOFaowabUV1LG2pLDOPM9cfa+fHCY&#10;sgyNNAGHDHedLJV6kA5bzgsWe9pZqk+Hi9Mw79Rgd/XZLvbH8Hm+DPvibUFa307H7TOIRGP6D/+1&#10;X42G+8eyXBZztYTfS/kOyPUPAAAA//8DAFBLAQItABQABgAIAAAAIQDb4fbL7gAAAIUBAAATAAAA&#10;AAAAAAAAAAAAAAAAAABbQ29udGVudF9UeXBlc10ueG1sUEsBAi0AFAAGAAgAAAAhAFr0LFu/AAAA&#10;FQEAAAsAAAAAAAAAAAAAAAAAHwEAAF9yZWxzLy5yZWxzUEsBAi0AFAAGAAgAAAAhAJhXd3jKAAAA&#10;4gAAAA8AAAAAAAAAAAAAAAAABwIAAGRycy9kb3ducmV2LnhtbFBLBQYAAAAAAwADALcAAAD+AgAA&#10;AAA=&#10;" fillcolor="#00abc5" strokeweight="0">
                <v:stroke dashstyle="1 1" opacity="0" endcap="round"/>
                <o:lock v:ext="edit" aspectratio="t"/>
              </v:rect>
              <w10:wrap anchorx="margin"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43F05" w14:textId="5D19935A" w:rsidR="000766AF" w:rsidRDefault="00B73256" w:rsidP="004207CD">
    <w:r>
      <w:rPr>
        <w:noProof/>
      </w:rPr>
      <mc:AlternateContent>
        <mc:Choice Requires="wps">
          <w:drawing>
            <wp:anchor distT="0" distB="0" distL="114300" distR="114300" simplePos="0" relativeHeight="251658240" behindDoc="0" locked="0" layoutInCell="1" allowOverlap="1" wp14:anchorId="146E95B6" wp14:editId="306CCEA2">
              <wp:simplePos x="0" y="0"/>
              <wp:positionH relativeFrom="page">
                <wp:posOffset>5080</wp:posOffset>
              </wp:positionH>
              <wp:positionV relativeFrom="paragraph">
                <wp:posOffset>-286385</wp:posOffset>
              </wp:positionV>
              <wp:extent cx="179705" cy="1080008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0800080"/>
                      </a:xfrm>
                      <a:prstGeom prst="rect">
                        <a:avLst/>
                      </a:prstGeom>
                      <a:solidFill>
                        <a:srgbClr val="1F5B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3A2E9" id="Rectangle 3" o:spid="_x0000_s1026" style="position:absolute;margin-left:.4pt;margin-top:-22.55pt;width:14.15pt;height:850.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SChwIAAHkFAAAOAAAAZHJzL2Uyb0RvYy54bWysVEtv2zAMvg/YfxB0X2wHzdoYdYosRYYB&#10;QVusHXpWZCk2JouapMTJfv0o+dGgLXYYdrAgih8/Pkzy+ubYKHIQ1tWgC5pNUkqE5lDWelfQH0/r&#10;T1eUOM90yRRoUdCTcPRm8fHDdWtyMYUKVCksQRLt8tYUtPLe5EnieCUa5iZghEalBNswj6LdJaVl&#10;LbI3Kpmm6eekBVsaC1w4h6+3nZIuIr+Ugvt7KZ3wRBUUY/PxtPHchjNZXLN8Z5mpat6Hwf4hiobV&#10;Gp2OVLfMM7K39RuqpuYWHEg/4dAkIGXNRcwBs8nSV9k8VsyImAsWx5mxTO7/0fK7w6N5sCF0ZzbA&#10;fzqsSNIal4+aILgec5S2CVgMnBxjFU9jFcXRE46P2eX8Mp1RwlGVpVdpil+oc8LywdxY578KaEi4&#10;FNTib4rVY4eN8x10gMTIQNXlulYqCna3XSlLDgx/abaefZnPe3Z3DlM6gDUEs44xvMTMumRiWv6k&#10;RMAp/V1IUpcY/jRGEhtQjH4Y50L7rFNVrBSd+xkmN+Q2WsRMI2Fgluh/5O4JQnO/5e6i7PHBVMT+&#10;HY3TvwXWGY8W0TNoPxo3tQb7HoHCrHrPHX4oUleaUKUtlKcHSyx00+MMX9f43zbM+QdmcVxwsHAF&#10;+Hs8pIK2oNDfKKnA/n7vPeCxi1FLSYvjV1D3a8+soER909jf8+ziIsxrFC5ml1MU7Llme67R+2YF&#10;oR1w2RgerwHv1XCVFppn3BTL4BVVTHP0XVDu7SCsfLcWcNdwsVxGGM6oYX6jHw0P5KGqoS+fjs/M&#10;mr55Pfb9HQyjyvJXPdxhg6WG5d6DrGODv9S1rzfOd2ycfheFBXIuR9TLxlz8AQAA//8DAFBLAwQU&#10;AAYACAAAACEAeRsuxN4AAAAIAQAADwAAAGRycy9kb3ducmV2LnhtbEyPQUvDQBCF74L/YRnBW7tp&#10;NbXGTIoo8SRUoyDettkxiWZnQ3bbxn/veNLTY3iP977JN5Pr1YHG0HlGWMwTUMS1tx03CK8v5WwN&#10;KkTD1vSeCeGbAmyK05PcZNYf+ZkOVWyUlHDIDEIb45BpHeqWnAlzPxCL9+FHZ6KcY6PtaI5S7nq9&#10;TJKVdqZjWWjNQHct1V/V3iFs3x746bG07/qCt5/3ulqXrqsRz8+m2xtQkab4F4ZffEGHQph2fs82&#10;qB5BuCPC7DJdgBJ7eS26k9gqTa9AF7n+/0DxAwAA//8DAFBLAQItABQABgAIAAAAIQC2gziS/gAA&#10;AOEBAAATAAAAAAAAAAAAAAAAAAAAAABbQ29udGVudF9UeXBlc10ueG1sUEsBAi0AFAAGAAgAAAAh&#10;ADj9If/WAAAAlAEAAAsAAAAAAAAAAAAAAAAALwEAAF9yZWxzLy5yZWxzUEsBAi0AFAAGAAgAAAAh&#10;ABTylIKHAgAAeQUAAA4AAAAAAAAAAAAAAAAALgIAAGRycy9lMm9Eb2MueG1sUEsBAi0AFAAGAAgA&#10;AAAhAHkbLsTeAAAACAEAAA8AAAAAAAAAAAAAAAAA4QQAAGRycy9kb3ducmV2LnhtbFBLBQYAAAAA&#10;BAAEAPMAAADsBQAAAAA=&#10;" fillcolor="#1f5b99" stroked="f" strokeweight="1pt">
              <w10:wrap anchorx="page"/>
            </v:rect>
          </w:pict>
        </mc:Fallback>
      </mc:AlternateContent>
    </w:r>
  </w:p>
  <w:p w14:paraId="3D5C4139" w14:textId="77777777" w:rsidR="00044FCA" w:rsidRDefault="00044FCA" w:rsidP="004207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1663"/>
    <w:multiLevelType w:val="hybridMultilevel"/>
    <w:tmpl w:val="2078DE9C"/>
    <w:lvl w:ilvl="0" w:tplc="C11CE09A">
      <w:start w:val="1"/>
      <w:numFmt w:val="decimal"/>
      <w:pStyle w:val="ListParagraph"/>
      <w:lvlText w:val="%1."/>
      <w:lvlJc w:val="left"/>
      <w:pPr>
        <w:ind w:left="360" w:hanging="360"/>
      </w:pPr>
      <w:rPr>
        <w:rFonts w:hint="default"/>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5F51813"/>
    <w:multiLevelType w:val="hybridMultilevel"/>
    <w:tmpl w:val="7BC24BA6"/>
    <w:lvl w:ilvl="0" w:tplc="89420D94">
      <w:start w:val="1"/>
      <w:numFmt w:val="bullet"/>
      <w:pStyle w:val="bodynumberedsubbullet"/>
      <w:lvlText w:val=""/>
      <w:lvlJc w:val="left"/>
      <w:pPr>
        <w:ind w:left="360" w:hanging="360"/>
      </w:pPr>
      <w:rPr>
        <w:rFonts w:ascii="Symbol" w:hAnsi="Symbol" w:hint="default"/>
        <w:b w:val="0"/>
        <w:i w:val="0"/>
        <w:sz w:val="18"/>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179856E7"/>
    <w:multiLevelType w:val="hybridMultilevel"/>
    <w:tmpl w:val="63843A1A"/>
    <w:lvl w:ilvl="0" w:tplc="71043C54">
      <w:start w:val="1"/>
      <w:numFmt w:val="bullet"/>
      <w:pStyle w:val="lis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F1E0366"/>
    <w:multiLevelType w:val="hybridMultilevel"/>
    <w:tmpl w:val="BC4E7B42"/>
    <w:lvl w:ilvl="0" w:tplc="17F45512">
      <w:start w:val="1"/>
      <w:numFmt w:val="bullet"/>
      <w:lvlText w:val=""/>
      <w:lvlJc w:val="left"/>
      <w:pPr>
        <w:ind w:left="720" w:hanging="360"/>
      </w:pPr>
      <w:rPr>
        <w:rFonts w:ascii="Symbol" w:hAnsi="Symbol" w:hint="default"/>
      </w:rPr>
    </w:lvl>
    <w:lvl w:ilvl="1" w:tplc="195A0588">
      <w:start w:val="1"/>
      <w:numFmt w:val="bullet"/>
      <w:pStyle w:val="Bullet2"/>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15C0511"/>
    <w:multiLevelType w:val="multilevel"/>
    <w:tmpl w:val="29FE6216"/>
    <w:lvl w:ilvl="0">
      <w:start w:val="1"/>
      <w:numFmt w:val="decimal"/>
      <w:pStyle w:val="bodynumbered"/>
      <w:lvlText w:val="%1."/>
      <w:lvlJc w:val="left"/>
      <w:pPr>
        <w:ind w:left="1068" w:hanging="360"/>
      </w:pPr>
      <w:rPr>
        <w:rFonts w:ascii="Arial" w:hAnsi="Arial" w:hint="default"/>
        <w:b w:val="0"/>
        <w:bCs w:val="0"/>
        <w:i w:val="0"/>
        <w:iCs w:val="0"/>
        <w:color w:val="auto"/>
        <w:sz w:val="18"/>
        <w:szCs w:val="22"/>
        <w:vertAlign w:val="baseline"/>
      </w:rPr>
    </w:lvl>
    <w:lvl w:ilvl="1">
      <w:start w:val="1"/>
      <w:numFmt w:val="lowerLetter"/>
      <w:lvlText w:val="%2."/>
      <w:lvlJc w:val="left"/>
      <w:pPr>
        <w:ind w:left="1145" w:hanging="360"/>
      </w:pPr>
      <w:rPr>
        <w:rFonts w:hint="default"/>
      </w:rPr>
    </w:lvl>
    <w:lvl w:ilvl="2">
      <w:start w:val="1"/>
      <w:numFmt w:val="lowerRoman"/>
      <w:lvlText w:val="%3."/>
      <w:lvlJc w:val="left"/>
      <w:pPr>
        <w:ind w:left="1505" w:hanging="360"/>
      </w:pPr>
      <w:rPr>
        <w:rFonts w:hint="default"/>
      </w:rPr>
    </w:lvl>
    <w:lvl w:ilvl="3">
      <w:start w:val="1"/>
      <w:numFmt w:val="decimal"/>
      <w:lvlText w:val="%4."/>
      <w:lvlJc w:val="left"/>
      <w:pPr>
        <w:ind w:left="1145" w:hanging="363"/>
      </w:pPr>
      <w:rPr>
        <w:rFonts w:hint="default"/>
        <w:color w:val="auto"/>
      </w:rPr>
    </w:lvl>
    <w:lvl w:ilvl="4">
      <w:start w:val="1"/>
      <w:numFmt w:val="lowerLetter"/>
      <w:lvlText w:val="(%5)"/>
      <w:lvlJc w:val="left"/>
      <w:pPr>
        <w:ind w:left="2225" w:hanging="360"/>
      </w:pPr>
      <w:rPr>
        <w:rFonts w:hint="default"/>
      </w:rPr>
    </w:lvl>
    <w:lvl w:ilvl="5">
      <w:start w:val="1"/>
      <w:numFmt w:val="lowerRoman"/>
      <w:lvlText w:val="(%6)"/>
      <w:lvlJc w:val="left"/>
      <w:pPr>
        <w:ind w:left="2585" w:hanging="360"/>
      </w:pPr>
      <w:rPr>
        <w:rFonts w:hint="default"/>
      </w:rPr>
    </w:lvl>
    <w:lvl w:ilvl="6">
      <w:start w:val="1"/>
      <w:numFmt w:val="decimal"/>
      <w:lvlText w:val="%7."/>
      <w:lvlJc w:val="left"/>
      <w:pPr>
        <w:ind w:left="2945" w:hanging="360"/>
      </w:pPr>
      <w:rPr>
        <w:rFonts w:hint="default"/>
      </w:rPr>
    </w:lvl>
    <w:lvl w:ilvl="7">
      <w:start w:val="1"/>
      <w:numFmt w:val="lowerLetter"/>
      <w:lvlText w:val="%8."/>
      <w:lvlJc w:val="left"/>
      <w:pPr>
        <w:ind w:left="3305" w:hanging="360"/>
      </w:pPr>
      <w:rPr>
        <w:rFonts w:hint="default"/>
      </w:rPr>
    </w:lvl>
    <w:lvl w:ilvl="8">
      <w:start w:val="1"/>
      <w:numFmt w:val="lowerRoman"/>
      <w:lvlText w:val="%9."/>
      <w:lvlJc w:val="left"/>
      <w:pPr>
        <w:ind w:left="3665" w:hanging="360"/>
      </w:pPr>
      <w:rPr>
        <w:rFonts w:hint="default"/>
      </w:rPr>
    </w:lvl>
  </w:abstractNum>
  <w:abstractNum w:abstractNumId="5" w15:restartNumberingAfterBreak="0">
    <w:nsid w:val="2271128B"/>
    <w:multiLevelType w:val="hybridMultilevel"/>
    <w:tmpl w:val="2EFCE2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EEC1854"/>
    <w:multiLevelType w:val="hybridMultilevel"/>
    <w:tmpl w:val="6CEC1F18"/>
    <w:lvl w:ilvl="0" w:tplc="1EC612C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7" w15:restartNumberingAfterBreak="0">
    <w:nsid w:val="419943FD"/>
    <w:multiLevelType w:val="hybridMultilevel"/>
    <w:tmpl w:val="87DEC88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5167342B"/>
    <w:multiLevelType w:val="hybridMultilevel"/>
    <w:tmpl w:val="683C5B66"/>
    <w:lvl w:ilvl="0" w:tplc="DD44F430">
      <w:start w:val="1"/>
      <w:numFmt w:val="bullet"/>
      <w:pStyle w:val="body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7FC2E53"/>
    <w:multiLevelType w:val="hybridMultilevel"/>
    <w:tmpl w:val="C00E872E"/>
    <w:lvl w:ilvl="0" w:tplc="5792E66A">
      <w:start w:val="1"/>
      <w:numFmt w:val="bullet"/>
      <w:pStyle w:val="bullets"/>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6CAB18E6"/>
    <w:multiLevelType w:val="hybridMultilevel"/>
    <w:tmpl w:val="4574C4BE"/>
    <w:lvl w:ilvl="0" w:tplc="518CF448">
      <w:start w:val="1"/>
      <w:numFmt w:val="bullet"/>
      <w:pStyle w:val="Bullets0"/>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CB82563"/>
    <w:multiLevelType w:val="hybridMultilevel"/>
    <w:tmpl w:val="1354EB3A"/>
    <w:lvl w:ilvl="0" w:tplc="FFFFFFFF">
      <w:start w:val="1"/>
      <w:numFmt w:val="bullet"/>
      <w:lvlText w:val=""/>
      <w:lvlJc w:val="left"/>
      <w:pPr>
        <w:ind w:left="720" w:hanging="360"/>
      </w:pPr>
      <w:rPr>
        <w:rFonts w:ascii="Symbol" w:hAnsi="Symbol" w:hint="default"/>
      </w:rPr>
    </w:lvl>
    <w:lvl w:ilvl="1" w:tplc="B3B49C9E">
      <w:start w:val="1"/>
      <w:numFmt w:val="bullet"/>
      <w:pStyle w:val="listsec"/>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7D442C9"/>
    <w:multiLevelType w:val="hybridMultilevel"/>
    <w:tmpl w:val="AF42252A"/>
    <w:lvl w:ilvl="0" w:tplc="FE00CEB6">
      <w:start w:val="1"/>
      <w:numFmt w:val="bullet"/>
      <w:pStyle w:val="tablebox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947859922">
    <w:abstractNumId w:val="12"/>
  </w:num>
  <w:num w:numId="2" w16cid:durableId="2125538024">
    <w:abstractNumId w:val="4"/>
  </w:num>
  <w:num w:numId="3" w16cid:durableId="359090446">
    <w:abstractNumId w:val="8"/>
  </w:num>
  <w:num w:numId="4" w16cid:durableId="93674986">
    <w:abstractNumId w:val="1"/>
  </w:num>
  <w:num w:numId="5" w16cid:durableId="1739791151">
    <w:abstractNumId w:val="2"/>
  </w:num>
  <w:num w:numId="6" w16cid:durableId="1366902457">
    <w:abstractNumId w:val="3"/>
  </w:num>
  <w:num w:numId="7" w16cid:durableId="395708905">
    <w:abstractNumId w:val="0"/>
  </w:num>
  <w:num w:numId="8" w16cid:durableId="188370808">
    <w:abstractNumId w:val="10"/>
  </w:num>
  <w:num w:numId="9" w16cid:durableId="436826778">
    <w:abstractNumId w:val="9"/>
  </w:num>
  <w:num w:numId="10" w16cid:durableId="283118005">
    <w:abstractNumId w:val="11"/>
  </w:num>
  <w:num w:numId="11" w16cid:durableId="491331109">
    <w:abstractNumId w:val="5"/>
  </w:num>
  <w:num w:numId="12" w16cid:durableId="1495073709">
    <w:abstractNumId w:val="6"/>
  </w:num>
  <w:num w:numId="13" w16cid:durableId="522979207">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o:colormru v:ext="edit" colors="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D28"/>
    <w:rsid w:val="000000F9"/>
    <w:rsid w:val="0000011E"/>
    <w:rsid w:val="000004AB"/>
    <w:rsid w:val="000005E3"/>
    <w:rsid w:val="00000958"/>
    <w:rsid w:val="00000A70"/>
    <w:rsid w:val="00000BE6"/>
    <w:rsid w:val="00000E6B"/>
    <w:rsid w:val="00001010"/>
    <w:rsid w:val="00001537"/>
    <w:rsid w:val="0000190F"/>
    <w:rsid w:val="00001F0F"/>
    <w:rsid w:val="00002156"/>
    <w:rsid w:val="000022E1"/>
    <w:rsid w:val="0000237B"/>
    <w:rsid w:val="000026E0"/>
    <w:rsid w:val="000029F4"/>
    <w:rsid w:val="00002A31"/>
    <w:rsid w:val="00002FF0"/>
    <w:rsid w:val="00003077"/>
    <w:rsid w:val="00003517"/>
    <w:rsid w:val="00003867"/>
    <w:rsid w:val="000038B5"/>
    <w:rsid w:val="00003F1A"/>
    <w:rsid w:val="00004328"/>
    <w:rsid w:val="0000491C"/>
    <w:rsid w:val="000049E8"/>
    <w:rsid w:val="00004BAE"/>
    <w:rsid w:val="00004DEC"/>
    <w:rsid w:val="000057AA"/>
    <w:rsid w:val="0000580A"/>
    <w:rsid w:val="000058BE"/>
    <w:rsid w:val="00006099"/>
    <w:rsid w:val="000061ED"/>
    <w:rsid w:val="00006392"/>
    <w:rsid w:val="000069C5"/>
    <w:rsid w:val="000069FD"/>
    <w:rsid w:val="00006A54"/>
    <w:rsid w:val="00006FF2"/>
    <w:rsid w:val="0000729F"/>
    <w:rsid w:val="000072F1"/>
    <w:rsid w:val="00007505"/>
    <w:rsid w:val="0000761E"/>
    <w:rsid w:val="00007936"/>
    <w:rsid w:val="00010481"/>
    <w:rsid w:val="00010497"/>
    <w:rsid w:val="00010534"/>
    <w:rsid w:val="00010A22"/>
    <w:rsid w:val="00010F79"/>
    <w:rsid w:val="0001112D"/>
    <w:rsid w:val="00011702"/>
    <w:rsid w:val="0001183B"/>
    <w:rsid w:val="00012127"/>
    <w:rsid w:val="000121D9"/>
    <w:rsid w:val="00012A73"/>
    <w:rsid w:val="00012AC7"/>
    <w:rsid w:val="00012AF2"/>
    <w:rsid w:val="00012B80"/>
    <w:rsid w:val="00012C22"/>
    <w:rsid w:val="00012CA1"/>
    <w:rsid w:val="00012D1D"/>
    <w:rsid w:val="00012FC8"/>
    <w:rsid w:val="000133C5"/>
    <w:rsid w:val="000134EC"/>
    <w:rsid w:val="00013620"/>
    <w:rsid w:val="0001424A"/>
    <w:rsid w:val="000142CA"/>
    <w:rsid w:val="0001432F"/>
    <w:rsid w:val="00014642"/>
    <w:rsid w:val="000147D1"/>
    <w:rsid w:val="0001489A"/>
    <w:rsid w:val="00014BD6"/>
    <w:rsid w:val="00014DDA"/>
    <w:rsid w:val="000152F8"/>
    <w:rsid w:val="0001597A"/>
    <w:rsid w:val="00015AFB"/>
    <w:rsid w:val="00015D00"/>
    <w:rsid w:val="00015D0D"/>
    <w:rsid w:val="00015DD5"/>
    <w:rsid w:val="00015EF2"/>
    <w:rsid w:val="00016261"/>
    <w:rsid w:val="000163A0"/>
    <w:rsid w:val="00016B98"/>
    <w:rsid w:val="00016F14"/>
    <w:rsid w:val="00016F9E"/>
    <w:rsid w:val="00017691"/>
    <w:rsid w:val="000176F8"/>
    <w:rsid w:val="00017AF4"/>
    <w:rsid w:val="00017D00"/>
    <w:rsid w:val="00020477"/>
    <w:rsid w:val="000204EF"/>
    <w:rsid w:val="00020BF3"/>
    <w:rsid w:val="00020C6A"/>
    <w:rsid w:val="00020E5C"/>
    <w:rsid w:val="00021729"/>
    <w:rsid w:val="00021C3E"/>
    <w:rsid w:val="00021E2F"/>
    <w:rsid w:val="00021E8D"/>
    <w:rsid w:val="00021F3D"/>
    <w:rsid w:val="00022096"/>
    <w:rsid w:val="00022133"/>
    <w:rsid w:val="00022433"/>
    <w:rsid w:val="00022AFF"/>
    <w:rsid w:val="00022E2C"/>
    <w:rsid w:val="00022E6E"/>
    <w:rsid w:val="00023B4B"/>
    <w:rsid w:val="00023C2A"/>
    <w:rsid w:val="00024111"/>
    <w:rsid w:val="00024628"/>
    <w:rsid w:val="00024856"/>
    <w:rsid w:val="000249F2"/>
    <w:rsid w:val="00024EA0"/>
    <w:rsid w:val="000255C1"/>
    <w:rsid w:val="00025FE5"/>
    <w:rsid w:val="000263B9"/>
    <w:rsid w:val="000263BD"/>
    <w:rsid w:val="0002683B"/>
    <w:rsid w:val="00026AB3"/>
    <w:rsid w:val="00026D2C"/>
    <w:rsid w:val="00026E94"/>
    <w:rsid w:val="0002701B"/>
    <w:rsid w:val="000271BC"/>
    <w:rsid w:val="000271FE"/>
    <w:rsid w:val="00027581"/>
    <w:rsid w:val="00027F20"/>
    <w:rsid w:val="0003050C"/>
    <w:rsid w:val="0003052B"/>
    <w:rsid w:val="00030674"/>
    <w:rsid w:val="00030DCB"/>
    <w:rsid w:val="00030E74"/>
    <w:rsid w:val="00030ECE"/>
    <w:rsid w:val="00030EEB"/>
    <w:rsid w:val="0003111B"/>
    <w:rsid w:val="0003112F"/>
    <w:rsid w:val="000314D1"/>
    <w:rsid w:val="000319E2"/>
    <w:rsid w:val="00031B2B"/>
    <w:rsid w:val="00031CED"/>
    <w:rsid w:val="00031E62"/>
    <w:rsid w:val="0003218B"/>
    <w:rsid w:val="0003291C"/>
    <w:rsid w:val="000330FE"/>
    <w:rsid w:val="0003319C"/>
    <w:rsid w:val="00033220"/>
    <w:rsid w:val="00033289"/>
    <w:rsid w:val="00033365"/>
    <w:rsid w:val="00034069"/>
    <w:rsid w:val="00034963"/>
    <w:rsid w:val="00034AD2"/>
    <w:rsid w:val="00034B96"/>
    <w:rsid w:val="00034DBA"/>
    <w:rsid w:val="00034F60"/>
    <w:rsid w:val="00035215"/>
    <w:rsid w:val="00035265"/>
    <w:rsid w:val="000353CA"/>
    <w:rsid w:val="0003588D"/>
    <w:rsid w:val="00035BAA"/>
    <w:rsid w:val="00035BBF"/>
    <w:rsid w:val="000360F3"/>
    <w:rsid w:val="000363AD"/>
    <w:rsid w:val="00036895"/>
    <w:rsid w:val="000368E2"/>
    <w:rsid w:val="0003693E"/>
    <w:rsid w:val="00036A58"/>
    <w:rsid w:val="00036F02"/>
    <w:rsid w:val="0003703F"/>
    <w:rsid w:val="00037087"/>
    <w:rsid w:val="000373E3"/>
    <w:rsid w:val="0003742A"/>
    <w:rsid w:val="000377C2"/>
    <w:rsid w:val="00037927"/>
    <w:rsid w:val="00037B7A"/>
    <w:rsid w:val="00037BA0"/>
    <w:rsid w:val="00037C30"/>
    <w:rsid w:val="00037FBA"/>
    <w:rsid w:val="00040024"/>
    <w:rsid w:val="00040199"/>
    <w:rsid w:val="00040888"/>
    <w:rsid w:val="00040A42"/>
    <w:rsid w:val="00040E7B"/>
    <w:rsid w:val="00040FB8"/>
    <w:rsid w:val="000413DC"/>
    <w:rsid w:val="00041525"/>
    <w:rsid w:val="00041717"/>
    <w:rsid w:val="00041C81"/>
    <w:rsid w:val="00041FFE"/>
    <w:rsid w:val="000424A4"/>
    <w:rsid w:val="000425EC"/>
    <w:rsid w:val="000427EA"/>
    <w:rsid w:val="00042B12"/>
    <w:rsid w:val="00042D2A"/>
    <w:rsid w:val="00042F9F"/>
    <w:rsid w:val="000431EB"/>
    <w:rsid w:val="00043310"/>
    <w:rsid w:val="000435D3"/>
    <w:rsid w:val="00043756"/>
    <w:rsid w:val="0004379B"/>
    <w:rsid w:val="00044140"/>
    <w:rsid w:val="00044165"/>
    <w:rsid w:val="00044286"/>
    <w:rsid w:val="000442B8"/>
    <w:rsid w:val="00044418"/>
    <w:rsid w:val="0004453B"/>
    <w:rsid w:val="000446F8"/>
    <w:rsid w:val="000448E5"/>
    <w:rsid w:val="00044B09"/>
    <w:rsid w:val="00044FCA"/>
    <w:rsid w:val="00045351"/>
    <w:rsid w:val="0004538E"/>
    <w:rsid w:val="000455D5"/>
    <w:rsid w:val="00045780"/>
    <w:rsid w:val="00045ECF"/>
    <w:rsid w:val="00046159"/>
    <w:rsid w:val="00046343"/>
    <w:rsid w:val="0004637E"/>
    <w:rsid w:val="0004673C"/>
    <w:rsid w:val="00046B42"/>
    <w:rsid w:val="00046F17"/>
    <w:rsid w:val="0004706D"/>
    <w:rsid w:val="00047551"/>
    <w:rsid w:val="00050165"/>
    <w:rsid w:val="00050196"/>
    <w:rsid w:val="00050251"/>
    <w:rsid w:val="00050610"/>
    <w:rsid w:val="000506B8"/>
    <w:rsid w:val="00050A63"/>
    <w:rsid w:val="00050B93"/>
    <w:rsid w:val="00050F39"/>
    <w:rsid w:val="0005112B"/>
    <w:rsid w:val="000514AD"/>
    <w:rsid w:val="00051CA8"/>
    <w:rsid w:val="00051D0F"/>
    <w:rsid w:val="00052AEC"/>
    <w:rsid w:val="00052CA7"/>
    <w:rsid w:val="00052CAC"/>
    <w:rsid w:val="000531DA"/>
    <w:rsid w:val="00053C7C"/>
    <w:rsid w:val="00053D18"/>
    <w:rsid w:val="000544CA"/>
    <w:rsid w:val="00054987"/>
    <w:rsid w:val="00054C3C"/>
    <w:rsid w:val="00054EDF"/>
    <w:rsid w:val="000551FD"/>
    <w:rsid w:val="0005523A"/>
    <w:rsid w:val="000557B2"/>
    <w:rsid w:val="00055840"/>
    <w:rsid w:val="00055A27"/>
    <w:rsid w:val="00055FC0"/>
    <w:rsid w:val="00056229"/>
    <w:rsid w:val="0005625E"/>
    <w:rsid w:val="00056453"/>
    <w:rsid w:val="000566B0"/>
    <w:rsid w:val="0005672C"/>
    <w:rsid w:val="000568B0"/>
    <w:rsid w:val="00056DBD"/>
    <w:rsid w:val="00057220"/>
    <w:rsid w:val="00057559"/>
    <w:rsid w:val="00057B71"/>
    <w:rsid w:val="00060740"/>
    <w:rsid w:val="000608D1"/>
    <w:rsid w:val="00060AF6"/>
    <w:rsid w:val="00060B17"/>
    <w:rsid w:val="00060CAD"/>
    <w:rsid w:val="00060CFD"/>
    <w:rsid w:val="00061019"/>
    <w:rsid w:val="0006158F"/>
    <w:rsid w:val="000616D8"/>
    <w:rsid w:val="000616E1"/>
    <w:rsid w:val="00061896"/>
    <w:rsid w:val="00061CE3"/>
    <w:rsid w:val="000629AA"/>
    <w:rsid w:val="00062ED6"/>
    <w:rsid w:val="000630A5"/>
    <w:rsid w:val="000632FB"/>
    <w:rsid w:val="0006355F"/>
    <w:rsid w:val="00063B57"/>
    <w:rsid w:val="00063D5B"/>
    <w:rsid w:val="000643F1"/>
    <w:rsid w:val="00064468"/>
    <w:rsid w:val="00064929"/>
    <w:rsid w:val="00064B4D"/>
    <w:rsid w:val="00064BF4"/>
    <w:rsid w:val="00064D23"/>
    <w:rsid w:val="00065189"/>
    <w:rsid w:val="0006518F"/>
    <w:rsid w:val="00065479"/>
    <w:rsid w:val="000654CC"/>
    <w:rsid w:val="00065671"/>
    <w:rsid w:val="00065999"/>
    <w:rsid w:val="00065A07"/>
    <w:rsid w:val="00066022"/>
    <w:rsid w:val="00066473"/>
    <w:rsid w:val="000664C3"/>
    <w:rsid w:val="00066A4B"/>
    <w:rsid w:val="00066E45"/>
    <w:rsid w:val="000670B0"/>
    <w:rsid w:val="00067124"/>
    <w:rsid w:val="000671E2"/>
    <w:rsid w:val="0006791D"/>
    <w:rsid w:val="00067A55"/>
    <w:rsid w:val="00067D47"/>
    <w:rsid w:val="00070490"/>
    <w:rsid w:val="00070A79"/>
    <w:rsid w:val="00070B56"/>
    <w:rsid w:val="00070C76"/>
    <w:rsid w:val="00070F75"/>
    <w:rsid w:val="000717A8"/>
    <w:rsid w:val="000721B0"/>
    <w:rsid w:val="00072B21"/>
    <w:rsid w:val="00072FFE"/>
    <w:rsid w:val="000731BC"/>
    <w:rsid w:val="000732B1"/>
    <w:rsid w:val="00073949"/>
    <w:rsid w:val="000739B8"/>
    <w:rsid w:val="00073B4A"/>
    <w:rsid w:val="00074196"/>
    <w:rsid w:val="0007424A"/>
    <w:rsid w:val="000742A7"/>
    <w:rsid w:val="000742C4"/>
    <w:rsid w:val="00074345"/>
    <w:rsid w:val="000744F7"/>
    <w:rsid w:val="0007462F"/>
    <w:rsid w:val="00074C38"/>
    <w:rsid w:val="0007507C"/>
    <w:rsid w:val="000754B4"/>
    <w:rsid w:val="000756A9"/>
    <w:rsid w:val="000757F5"/>
    <w:rsid w:val="00075EB4"/>
    <w:rsid w:val="000761CB"/>
    <w:rsid w:val="000761E5"/>
    <w:rsid w:val="000765A8"/>
    <w:rsid w:val="0007663A"/>
    <w:rsid w:val="00076674"/>
    <w:rsid w:val="000766AF"/>
    <w:rsid w:val="000770BF"/>
    <w:rsid w:val="000778CF"/>
    <w:rsid w:val="00077963"/>
    <w:rsid w:val="000779E6"/>
    <w:rsid w:val="00077F19"/>
    <w:rsid w:val="00077FCD"/>
    <w:rsid w:val="0008019C"/>
    <w:rsid w:val="00080BFF"/>
    <w:rsid w:val="00080FB6"/>
    <w:rsid w:val="00081127"/>
    <w:rsid w:val="00081D08"/>
    <w:rsid w:val="00081DA8"/>
    <w:rsid w:val="00081DD1"/>
    <w:rsid w:val="00081E15"/>
    <w:rsid w:val="0008225F"/>
    <w:rsid w:val="00082417"/>
    <w:rsid w:val="00082545"/>
    <w:rsid w:val="00082A37"/>
    <w:rsid w:val="00082C51"/>
    <w:rsid w:val="00082CD5"/>
    <w:rsid w:val="00082D0E"/>
    <w:rsid w:val="00083473"/>
    <w:rsid w:val="0008367F"/>
    <w:rsid w:val="00083AEB"/>
    <w:rsid w:val="00083F01"/>
    <w:rsid w:val="00083FCC"/>
    <w:rsid w:val="0008402B"/>
    <w:rsid w:val="0008432F"/>
    <w:rsid w:val="00084372"/>
    <w:rsid w:val="00084848"/>
    <w:rsid w:val="00084CA3"/>
    <w:rsid w:val="00084E19"/>
    <w:rsid w:val="0008510D"/>
    <w:rsid w:val="000854DF"/>
    <w:rsid w:val="00085656"/>
    <w:rsid w:val="00085F57"/>
    <w:rsid w:val="00086293"/>
    <w:rsid w:val="0008674C"/>
    <w:rsid w:val="00086877"/>
    <w:rsid w:val="000869E2"/>
    <w:rsid w:val="00086BC5"/>
    <w:rsid w:val="000877E8"/>
    <w:rsid w:val="00087902"/>
    <w:rsid w:val="00087D33"/>
    <w:rsid w:val="00087F50"/>
    <w:rsid w:val="000903B4"/>
    <w:rsid w:val="000904EC"/>
    <w:rsid w:val="000908BE"/>
    <w:rsid w:val="00090AE5"/>
    <w:rsid w:val="000917E3"/>
    <w:rsid w:val="0009185C"/>
    <w:rsid w:val="00091C91"/>
    <w:rsid w:val="00091E1D"/>
    <w:rsid w:val="00091F8F"/>
    <w:rsid w:val="000920AE"/>
    <w:rsid w:val="00092189"/>
    <w:rsid w:val="00092232"/>
    <w:rsid w:val="00092340"/>
    <w:rsid w:val="00092AF8"/>
    <w:rsid w:val="00092D43"/>
    <w:rsid w:val="00093091"/>
    <w:rsid w:val="00093181"/>
    <w:rsid w:val="0009328B"/>
    <w:rsid w:val="0009353B"/>
    <w:rsid w:val="00093860"/>
    <w:rsid w:val="000938E5"/>
    <w:rsid w:val="000939BA"/>
    <w:rsid w:val="00093EE4"/>
    <w:rsid w:val="000941A6"/>
    <w:rsid w:val="00094494"/>
    <w:rsid w:val="000946C5"/>
    <w:rsid w:val="00094831"/>
    <w:rsid w:val="00094879"/>
    <w:rsid w:val="00095094"/>
    <w:rsid w:val="00095D9B"/>
    <w:rsid w:val="00095F53"/>
    <w:rsid w:val="00095FA5"/>
    <w:rsid w:val="000961F2"/>
    <w:rsid w:val="000965DD"/>
    <w:rsid w:val="000969B7"/>
    <w:rsid w:val="00096ADF"/>
    <w:rsid w:val="00096BED"/>
    <w:rsid w:val="00096EDE"/>
    <w:rsid w:val="00097169"/>
    <w:rsid w:val="00097382"/>
    <w:rsid w:val="000978D1"/>
    <w:rsid w:val="000979D2"/>
    <w:rsid w:val="00097A6B"/>
    <w:rsid w:val="000A05B2"/>
    <w:rsid w:val="000A0676"/>
    <w:rsid w:val="000A0728"/>
    <w:rsid w:val="000A07B3"/>
    <w:rsid w:val="000A0829"/>
    <w:rsid w:val="000A082E"/>
    <w:rsid w:val="000A0B2E"/>
    <w:rsid w:val="000A0CC4"/>
    <w:rsid w:val="000A0DD7"/>
    <w:rsid w:val="000A120A"/>
    <w:rsid w:val="000A1570"/>
    <w:rsid w:val="000A187E"/>
    <w:rsid w:val="000A1C91"/>
    <w:rsid w:val="000A1FA7"/>
    <w:rsid w:val="000A210A"/>
    <w:rsid w:val="000A249E"/>
    <w:rsid w:val="000A2693"/>
    <w:rsid w:val="000A2B4C"/>
    <w:rsid w:val="000A2F84"/>
    <w:rsid w:val="000A2FC5"/>
    <w:rsid w:val="000A3F2A"/>
    <w:rsid w:val="000A43DC"/>
    <w:rsid w:val="000A47F7"/>
    <w:rsid w:val="000A4BCB"/>
    <w:rsid w:val="000A4BD1"/>
    <w:rsid w:val="000A5053"/>
    <w:rsid w:val="000A53D8"/>
    <w:rsid w:val="000A5676"/>
    <w:rsid w:val="000A58AA"/>
    <w:rsid w:val="000A5927"/>
    <w:rsid w:val="000A61B9"/>
    <w:rsid w:val="000A63CD"/>
    <w:rsid w:val="000A76CE"/>
    <w:rsid w:val="000A7754"/>
    <w:rsid w:val="000B00A0"/>
    <w:rsid w:val="000B0978"/>
    <w:rsid w:val="000B0980"/>
    <w:rsid w:val="000B0A49"/>
    <w:rsid w:val="000B0BE2"/>
    <w:rsid w:val="000B1029"/>
    <w:rsid w:val="000B1151"/>
    <w:rsid w:val="000B182E"/>
    <w:rsid w:val="000B1832"/>
    <w:rsid w:val="000B1B2D"/>
    <w:rsid w:val="000B1BEA"/>
    <w:rsid w:val="000B1CA9"/>
    <w:rsid w:val="000B1CFD"/>
    <w:rsid w:val="000B21E5"/>
    <w:rsid w:val="000B238B"/>
    <w:rsid w:val="000B240D"/>
    <w:rsid w:val="000B2623"/>
    <w:rsid w:val="000B2EA2"/>
    <w:rsid w:val="000B2F03"/>
    <w:rsid w:val="000B35BC"/>
    <w:rsid w:val="000B3A31"/>
    <w:rsid w:val="000B3B25"/>
    <w:rsid w:val="000B3E10"/>
    <w:rsid w:val="000B47F5"/>
    <w:rsid w:val="000B4D1A"/>
    <w:rsid w:val="000B50BE"/>
    <w:rsid w:val="000B53B1"/>
    <w:rsid w:val="000B5400"/>
    <w:rsid w:val="000B554F"/>
    <w:rsid w:val="000B5F7F"/>
    <w:rsid w:val="000B6571"/>
    <w:rsid w:val="000B67EB"/>
    <w:rsid w:val="000B6C48"/>
    <w:rsid w:val="000B6E74"/>
    <w:rsid w:val="000B704E"/>
    <w:rsid w:val="000B736B"/>
    <w:rsid w:val="000B7DDF"/>
    <w:rsid w:val="000B7F7F"/>
    <w:rsid w:val="000C0B42"/>
    <w:rsid w:val="000C0E24"/>
    <w:rsid w:val="000C101A"/>
    <w:rsid w:val="000C115D"/>
    <w:rsid w:val="000C1451"/>
    <w:rsid w:val="000C149C"/>
    <w:rsid w:val="000C1674"/>
    <w:rsid w:val="000C1BC7"/>
    <w:rsid w:val="000C1C01"/>
    <w:rsid w:val="000C1EFE"/>
    <w:rsid w:val="000C21BC"/>
    <w:rsid w:val="000C22D0"/>
    <w:rsid w:val="000C2967"/>
    <w:rsid w:val="000C3118"/>
    <w:rsid w:val="000C32C0"/>
    <w:rsid w:val="000C332C"/>
    <w:rsid w:val="000C3677"/>
    <w:rsid w:val="000C371E"/>
    <w:rsid w:val="000C3ACA"/>
    <w:rsid w:val="000C3C97"/>
    <w:rsid w:val="000C3D64"/>
    <w:rsid w:val="000C3EA4"/>
    <w:rsid w:val="000C3F8C"/>
    <w:rsid w:val="000C4441"/>
    <w:rsid w:val="000C4B56"/>
    <w:rsid w:val="000C4C33"/>
    <w:rsid w:val="000C4D35"/>
    <w:rsid w:val="000C4DB6"/>
    <w:rsid w:val="000C4EBF"/>
    <w:rsid w:val="000C4F57"/>
    <w:rsid w:val="000C4FAD"/>
    <w:rsid w:val="000C55EE"/>
    <w:rsid w:val="000C57B2"/>
    <w:rsid w:val="000C5A21"/>
    <w:rsid w:val="000C6A62"/>
    <w:rsid w:val="000C6B69"/>
    <w:rsid w:val="000C6FB2"/>
    <w:rsid w:val="000C7354"/>
    <w:rsid w:val="000C788C"/>
    <w:rsid w:val="000C7D7E"/>
    <w:rsid w:val="000C7E29"/>
    <w:rsid w:val="000D02D0"/>
    <w:rsid w:val="000D042D"/>
    <w:rsid w:val="000D044D"/>
    <w:rsid w:val="000D0923"/>
    <w:rsid w:val="000D0CD2"/>
    <w:rsid w:val="000D0EA7"/>
    <w:rsid w:val="000D10E7"/>
    <w:rsid w:val="000D1674"/>
    <w:rsid w:val="000D1ABF"/>
    <w:rsid w:val="000D1AC9"/>
    <w:rsid w:val="000D1B0B"/>
    <w:rsid w:val="000D1C1F"/>
    <w:rsid w:val="000D1C52"/>
    <w:rsid w:val="000D214A"/>
    <w:rsid w:val="000D21EE"/>
    <w:rsid w:val="000D2224"/>
    <w:rsid w:val="000D290E"/>
    <w:rsid w:val="000D2AC2"/>
    <w:rsid w:val="000D3165"/>
    <w:rsid w:val="000D37E7"/>
    <w:rsid w:val="000D3817"/>
    <w:rsid w:val="000D3A53"/>
    <w:rsid w:val="000D3EDA"/>
    <w:rsid w:val="000D40CC"/>
    <w:rsid w:val="000D428B"/>
    <w:rsid w:val="000D443B"/>
    <w:rsid w:val="000D45A8"/>
    <w:rsid w:val="000D4617"/>
    <w:rsid w:val="000D48C0"/>
    <w:rsid w:val="000D4996"/>
    <w:rsid w:val="000D4B0E"/>
    <w:rsid w:val="000D4BAD"/>
    <w:rsid w:val="000D4D52"/>
    <w:rsid w:val="000D4DE1"/>
    <w:rsid w:val="000D57A9"/>
    <w:rsid w:val="000D59E2"/>
    <w:rsid w:val="000D5AA6"/>
    <w:rsid w:val="000D5AB4"/>
    <w:rsid w:val="000D5CD5"/>
    <w:rsid w:val="000D5EF4"/>
    <w:rsid w:val="000D5EF9"/>
    <w:rsid w:val="000D6053"/>
    <w:rsid w:val="000D676E"/>
    <w:rsid w:val="000D678A"/>
    <w:rsid w:val="000D69A8"/>
    <w:rsid w:val="000D6D4D"/>
    <w:rsid w:val="000D6FE6"/>
    <w:rsid w:val="000D70A2"/>
    <w:rsid w:val="000D74CA"/>
    <w:rsid w:val="000D75B1"/>
    <w:rsid w:val="000D783E"/>
    <w:rsid w:val="000D7B2E"/>
    <w:rsid w:val="000D7DB8"/>
    <w:rsid w:val="000D7DDC"/>
    <w:rsid w:val="000D7EAB"/>
    <w:rsid w:val="000E01D0"/>
    <w:rsid w:val="000E02F8"/>
    <w:rsid w:val="000E03F6"/>
    <w:rsid w:val="000E057C"/>
    <w:rsid w:val="000E09BA"/>
    <w:rsid w:val="000E09C6"/>
    <w:rsid w:val="000E0C4A"/>
    <w:rsid w:val="000E0D4A"/>
    <w:rsid w:val="000E0F95"/>
    <w:rsid w:val="000E108B"/>
    <w:rsid w:val="000E16EC"/>
    <w:rsid w:val="000E1800"/>
    <w:rsid w:val="000E1BC2"/>
    <w:rsid w:val="000E1D4A"/>
    <w:rsid w:val="000E210D"/>
    <w:rsid w:val="000E283B"/>
    <w:rsid w:val="000E2C0B"/>
    <w:rsid w:val="000E2C5B"/>
    <w:rsid w:val="000E2FCD"/>
    <w:rsid w:val="000E35CC"/>
    <w:rsid w:val="000E3827"/>
    <w:rsid w:val="000E3C24"/>
    <w:rsid w:val="000E3D02"/>
    <w:rsid w:val="000E3FF6"/>
    <w:rsid w:val="000E46F6"/>
    <w:rsid w:val="000E4B70"/>
    <w:rsid w:val="000E4F4B"/>
    <w:rsid w:val="000E5208"/>
    <w:rsid w:val="000E54CD"/>
    <w:rsid w:val="000E5771"/>
    <w:rsid w:val="000E5794"/>
    <w:rsid w:val="000E5B63"/>
    <w:rsid w:val="000E5BF9"/>
    <w:rsid w:val="000E5EA1"/>
    <w:rsid w:val="000E5EA4"/>
    <w:rsid w:val="000E618E"/>
    <w:rsid w:val="000E6191"/>
    <w:rsid w:val="000E62FE"/>
    <w:rsid w:val="000F0427"/>
    <w:rsid w:val="000F05C8"/>
    <w:rsid w:val="000F0635"/>
    <w:rsid w:val="000F076E"/>
    <w:rsid w:val="000F0D53"/>
    <w:rsid w:val="000F1074"/>
    <w:rsid w:val="000F10CB"/>
    <w:rsid w:val="000F1134"/>
    <w:rsid w:val="000F136F"/>
    <w:rsid w:val="000F1819"/>
    <w:rsid w:val="000F185F"/>
    <w:rsid w:val="000F1A71"/>
    <w:rsid w:val="000F1BD0"/>
    <w:rsid w:val="000F2018"/>
    <w:rsid w:val="000F221A"/>
    <w:rsid w:val="000F2441"/>
    <w:rsid w:val="000F271C"/>
    <w:rsid w:val="000F2950"/>
    <w:rsid w:val="000F2E1E"/>
    <w:rsid w:val="000F332C"/>
    <w:rsid w:val="000F33E4"/>
    <w:rsid w:val="000F39CB"/>
    <w:rsid w:val="000F3A01"/>
    <w:rsid w:val="000F4467"/>
    <w:rsid w:val="000F4842"/>
    <w:rsid w:val="000F4920"/>
    <w:rsid w:val="000F4AC8"/>
    <w:rsid w:val="000F4D69"/>
    <w:rsid w:val="000F509C"/>
    <w:rsid w:val="000F5350"/>
    <w:rsid w:val="000F53D1"/>
    <w:rsid w:val="000F556D"/>
    <w:rsid w:val="000F55FE"/>
    <w:rsid w:val="000F573F"/>
    <w:rsid w:val="000F58DA"/>
    <w:rsid w:val="000F5AAF"/>
    <w:rsid w:val="000F643A"/>
    <w:rsid w:val="000F6579"/>
    <w:rsid w:val="000F6652"/>
    <w:rsid w:val="000F6C0B"/>
    <w:rsid w:val="000F6D69"/>
    <w:rsid w:val="000F7ACF"/>
    <w:rsid w:val="000F7AFB"/>
    <w:rsid w:val="000F7B95"/>
    <w:rsid w:val="000F7BB3"/>
    <w:rsid w:val="000F7EC1"/>
    <w:rsid w:val="0010116F"/>
    <w:rsid w:val="001013CD"/>
    <w:rsid w:val="001014C6"/>
    <w:rsid w:val="001015AA"/>
    <w:rsid w:val="00101632"/>
    <w:rsid w:val="00101B62"/>
    <w:rsid w:val="00101C63"/>
    <w:rsid w:val="001021D6"/>
    <w:rsid w:val="00102247"/>
    <w:rsid w:val="00102C06"/>
    <w:rsid w:val="00102EE2"/>
    <w:rsid w:val="0010383F"/>
    <w:rsid w:val="00103ADA"/>
    <w:rsid w:val="00103E2B"/>
    <w:rsid w:val="0010415C"/>
    <w:rsid w:val="001042D6"/>
    <w:rsid w:val="001043BD"/>
    <w:rsid w:val="001044D0"/>
    <w:rsid w:val="0010461E"/>
    <w:rsid w:val="00104D75"/>
    <w:rsid w:val="00104F7D"/>
    <w:rsid w:val="00105646"/>
    <w:rsid w:val="00105905"/>
    <w:rsid w:val="001059CB"/>
    <w:rsid w:val="00105F25"/>
    <w:rsid w:val="001064A3"/>
    <w:rsid w:val="00106F9D"/>
    <w:rsid w:val="001072FF"/>
    <w:rsid w:val="00107315"/>
    <w:rsid w:val="001076D7"/>
    <w:rsid w:val="00107E1F"/>
    <w:rsid w:val="00107FA1"/>
    <w:rsid w:val="00110162"/>
    <w:rsid w:val="00110190"/>
    <w:rsid w:val="00110383"/>
    <w:rsid w:val="00110F52"/>
    <w:rsid w:val="0011107F"/>
    <w:rsid w:val="0011126E"/>
    <w:rsid w:val="00111272"/>
    <w:rsid w:val="001113B2"/>
    <w:rsid w:val="001116A1"/>
    <w:rsid w:val="00111C95"/>
    <w:rsid w:val="00111D75"/>
    <w:rsid w:val="00111EA2"/>
    <w:rsid w:val="0011252A"/>
    <w:rsid w:val="00112CAE"/>
    <w:rsid w:val="001134AD"/>
    <w:rsid w:val="00113845"/>
    <w:rsid w:val="00113FF5"/>
    <w:rsid w:val="00114267"/>
    <w:rsid w:val="001142C7"/>
    <w:rsid w:val="001146C4"/>
    <w:rsid w:val="0011492E"/>
    <w:rsid w:val="00114AC0"/>
    <w:rsid w:val="00114F75"/>
    <w:rsid w:val="00115029"/>
    <w:rsid w:val="00115339"/>
    <w:rsid w:val="00115424"/>
    <w:rsid w:val="0011560C"/>
    <w:rsid w:val="001157F5"/>
    <w:rsid w:val="00115A3C"/>
    <w:rsid w:val="00115C23"/>
    <w:rsid w:val="001160E7"/>
    <w:rsid w:val="0011629B"/>
    <w:rsid w:val="0011675A"/>
    <w:rsid w:val="00116D2B"/>
    <w:rsid w:val="00116FA5"/>
    <w:rsid w:val="001170B5"/>
    <w:rsid w:val="00117194"/>
    <w:rsid w:val="0011721D"/>
    <w:rsid w:val="00117392"/>
    <w:rsid w:val="001176CE"/>
    <w:rsid w:val="001179DF"/>
    <w:rsid w:val="00120053"/>
    <w:rsid w:val="00120130"/>
    <w:rsid w:val="00120296"/>
    <w:rsid w:val="00120712"/>
    <w:rsid w:val="0012100A"/>
    <w:rsid w:val="001210A1"/>
    <w:rsid w:val="00121DAB"/>
    <w:rsid w:val="00121EE6"/>
    <w:rsid w:val="00122185"/>
    <w:rsid w:val="00122B78"/>
    <w:rsid w:val="00122B7E"/>
    <w:rsid w:val="001230DD"/>
    <w:rsid w:val="001231E1"/>
    <w:rsid w:val="00123309"/>
    <w:rsid w:val="001233D8"/>
    <w:rsid w:val="00123BE0"/>
    <w:rsid w:val="00123F0D"/>
    <w:rsid w:val="00124059"/>
    <w:rsid w:val="001240B2"/>
    <w:rsid w:val="0012482E"/>
    <w:rsid w:val="00124BBC"/>
    <w:rsid w:val="00124EA5"/>
    <w:rsid w:val="00124F2B"/>
    <w:rsid w:val="00125374"/>
    <w:rsid w:val="001255C7"/>
    <w:rsid w:val="001256AD"/>
    <w:rsid w:val="00125781"/>
    <w:rsid w:val="001257DD"/>
    <w:rsid w:val="00125B6B"/>
    <w:rsid w:val="00125D4C"/>
    <w:rsid w:val="00125D6E"/>
    <w:rsid w:val="00125DC6"/>
    <w:rsid w:val="00126080"/>
    <w:rsid w:val="001261F2"/>
    <w:rsid w:val="00126223"/>
    <w:rsid w:val="00126472"/>
    <w:rsid w:val="00126AFD"/>
    <w:rsid w:val="00126B49"/>
    <w:rsid w:val="00126BB1"/>
    <w:rsid w:val="00127065"/>
    <w:rsid w:val="001271D2"/>
    <w:rsid w:val="001277D0"/>
    <w:rsid w:val="001278EE"/>
    <w:rsid w:val="00127AD0"/>
    <w:rsid w:val="00127B70"/>
    <w:rsid w:val="00127CF7"/>
    <w:rsid w:val="0013006C"/>
    <w:rsid w:val="001305A2"/>
    <w:rsid w:val="00130705"/>
    <w:rsid w:val="001307D5"/>
    <w:rsid w:val="0013084C"/>
    <w:rsid w:val="00130A57"/>
    <w:rsid w:val="00130B96"/>
    <w:rsid w:val="00131070"/>
    <w:rsid w:val="00131242"/>
    <w:rsid w:val="001312B8"/>
    <w:rsid w:val="001316E6"/>
    <w:rsid w:val="00131C75"/>
    <w:rsid w:val="00132369"/>
    <w:rsid w:val="001325C6"/>
    <w:rsid w:val="00132952"/>
    <w:rsid w:val="00132996"/>
    <w:rsid w:val="00132CB4"/>
    <w:rsid w:val="001332D0"/>
    <w:rsid w:val="0013345E"/>
    <w:rsid w:val="0013358C"/>
    <w:rsid w:val="00133E26"/>
    <w:rsid w:val="00133F8D"/>
    <w:rsid w:val="00134B6E"/>
    <w:rsid w:val="00134C0C"/>
    <w:rsid w:val="00134C30"/>
    <w:rsid w:val="001351C6"/>
    <w:rsid w:val="00135409"/>
    <w:rsid w:val="00135442"/>
    <w:rsid w:val="00135705"/>
    <w:rsid w:val="001357C3"/>
    <w:rsid w:val="001357CC"/>
    <w:rsid w:val="001357D7"/>
    <w:rsid w:val="0013617D"/>
    <w:rsid w:val="0013671E"/>
    <w:rsid w:val="001369C5"/>
    <w:rsid w:val="00136D20"/>
    <w:rsid w:val="0013773C"/>
    <w:rsid w:val="00137B4D"/>
    <w:rsid w:val="00137F40"/>
    <w:rsid w:val="001405D6"/>
    <w:rsid w:val="00140623"/>
    <w:rsid w:val="00140B0D"/>
    <w:rsid w:val="00140BBD"/>
    <w:rsid w:val="00140FD3"/>
    <w:rsid w:val="00141245"/>
    <w:rsid w:val="001414DD"/>
    <w:rsid w:val="00141812"/>
    <w:rsid w:val="001419E4"/>
    <w:rsid w:val="00141D6A"/>
    <w:rsid w:val="00141DC3"/>
    <w:rsid w:val="00142460"/>
    <w:rsid w:val="001426D7"/>
    <w:rsid w:val="00142727"/>
    <w:rsid w:val="001427FE"/>
    <w:rsid w:val="001428B8"/>
    <w:rsid w:val="00142AFC"/>
    <w:rsid w:val="00142DC3"/>
    <w:rsid w:val="00142DFD"/>
    <w:rsid w:val="00143135"/>
    <w:rsid w:val="001431B6"/>
    <w:rsid w:val="001432D4"/>
    <w:rsid w:val="00143559"/>
    <w:rsid w:val="00143A7B"/>
    <w:rsid w:val="00143F3D"/>
    <w:rsid w:val="001441FF"/>
    <w:rsid w:val="00144C29"/>
    <w:rsid w:val="0014509B"/>
    <w:rsid w:val="001451C4"/>
    <w:rsid w:val="001453B0"/>
    <w:rsid w:val="0014561F"/>
    <w:rsid w:val="00145752"/>
    <w:rsid w:val="00145D26"/>
    <w:rsid w:val="00145D62"/>
    <w:rsid w:val="0014607D"/>
    <w:rsid w:val="00146C5B"/>
    <w:rsid w:val="00146F6D"/>
    <w:rsid w:val="00147053"/>
    <w:rsid w:val="00147081"/>
    <w:rsid w:val="00147568"/>
    <w:rsid w:val="00147AC5"/>
    <w:rsid w:val="00147D76"/>
    <w:rsid w:val="00147E92"/>
    <w:rsid w:val="00147F48"/>
    <w:rsid w:val="0015038B"/>
    <w:rsid w:val="00150587"/>
    <w:rsid w:val="001508A5"/>
    <w:rsid w:val="00150A40"/>
    <w:rsid w:val="00150C69"/>
    <w:rsid w:val="0015103F"/>
    <w:rsid w:val="00151239"/>
    <w:rsid w:val="0015148C"/>
    <w:rsid w:val="0015167A"/>
    <w:rsid w:val="001516D9"/>
    <w:rsid w:val="00151917"/>
    <w:rsid w:val="00151B86"/>
    <w:rsid w:val="00151F04"/>
    <w:rsid w:val="00151FFA"/>
    <w:rsid w:val="0015275F"/>
    <w:rsid w:val="00152B69"/>
    <w:rsid w:val="00152FF2"/>
    <w:rsid w:val="001539C8"/>
    <w:rsid w:val="00153B98"/>
    <w:rsid w:val="00153BCE"/>
    <w:rsid w:val="001544BB"/>
    <w:rsid w:val="001544F2"/>
    <w:rsid w:val="0015457F"/>
    <w:rsid w:val="00154660"/>
    <w:rsid w:val="00154A68"/>
    <w:rsid w:val="00155293"/>
    <w:rsid w:val="001557AB"/>
    <w:rsid w:val="0015584B"/>
    <w:rsid w:val="001558EF"/>
    <w:rsid w:val="001559C1"/>
    <w:rsid w:val="00155CCB"/>
    <w:rsid w:val="00156570"/>
    <w:rsid w:val="001565AE"/>
    <w:rsid w:val="00156B56"/>
    <w:rsid w:val="00156D55"/>
    <w:rsid w:val="00156E9E"/>
    <w:rsid w:val="00157013"/>
    <w:rsid w:val="0015738B"/>
    <w:rsid w:val="0015758E"/>
    <w:rsid w:val="00157ABE"/>
    <w:rsid w:val="00157AE6"/>
    <w:rsid w:val="0016038E"/>
    <w:rsid w:val="001603B0"/>
    <w:rsid w:val="00160464"/>
    <w:rsid w:val="00160527"/>
    <w:rsid w:val="0016078A"/>
    <w:rsid w:val="001607A0"/>
    <w:rsid w:val="001608F0"/>
    <w:rsid w:val="00160FCD"/>
    <w:rsid w:val="00161193"/>
    <w:rsid w:val="00161202"/>
    <w:rsid w:val="001616A0"/>
    <w:rsid w:val="00161849"/>
    <w:rsid w:val="00161E23"/>
    <w:rsid w:val="0016229B"/>
    <w:rsid w:val="00162389"/>
    <w:rsid w:val="00162445"/>
    <w:rsid w:val="0016260D"/>
    <w:rsid w:val="00162CBB"/>
    <w:rsid w:val="00163488"/>
    <w:rsid w:val="0016372D"/>
    <w:rsid w:val="00163875"/>
    <w:rsid w:val="001638EF"/>
    <w:rsid w:val="00163D89"/>
    <w:rsid w:val="00163F61"/>
    <w:rsid w:val="0016426D"/>
    <w:rsid w:val="001642D5"/>
    <w:rsid w:val="00164666"/>
    <w:rsid w:val="00164D8E"/>
    <w:rsid w:val="00164E94"/>
    <w:rsid w:val="00164F81"/>
    <w:rsid w:val="00165946"/>
    <w:rsid w:val="00165A67"/>
    <w:rsid w:val="00165ABC"/>
    <w:rsid w:val="00165EE2"/>
    <w:rsid w:val="00166004"/>
    <w:rsid w:val="0016611A"/>
    <w:rsid w:val="00166259"/>
    <w:rsid w:val="001664F1"/>
    <w:rsid w:val="001669AB"/>
    <w:rsid w:val="001669DD"/>
    <w:rsid w:val="00166A28"/>
    <w:rsid w:val="00166B34"/>
    <w:rsid w:val="00166D7D"/>
    <w:rsid w:val="0016711A"/>
    <w:rsid w:val="00167446"/>
    <w:rsid w:val="0016746E"/>
    <w:rsid w:val="00167907"/>
    <w:rsid w:val="00167BAB"/>
    <w:rsid w:val="00167D2B"/>
    <w:rsid w:val="00167D4F"/>
    <w:rsid w:val="00167D60"/>
    <w:rsid w:val="00167F57"/>
    <w:rsid w:val="001701EF"/>
    <w:rsid w:val="001703C6"/>
    <w:rsid w:val="00170A60"/>
    <w:rsid w:val="00170E93"/>
    <w:rsid w:val="0017156D"/>
    <w:rsid w:val="00171637"/>
    <w:rsid w:val="00171EB9"/>
    <w:rsid w:val="00172323"/>
    <w:rsid w:val="00172E6E"/>
    <w:rsid w:val="0017323C"/>
    <w:rsid w:val="001733EC"/>
    <w:rsid w:val="00173415"/>
    <w:rsid w:val="0017341F"/>
    <w:rsid w:val="001734A5"/>
    <w:rsid w:val="00173F53"/>
    <w:rsid w:val="00174CB7"/>
    <w:rsid w:val="00174CDC"/>
    <w:rsid w:val="00174D04"/>
    <w:rsid w:val="00174FC1"/>
    <w:rsid w:val="00175047"/>
    <w:rsid w:val="00175527"/>
    <w:rsid w:val="00175589"/>
    <w:rsid w:val="00175C81"/>
    <w:rsid w:val="00175E9E"/>
    <w:rsid w:val="0017649A"/>
    <w:rsid w:val="0017700A"/>
    <w:rsid w:val="001771F2"/>
    <w:rsid w:val="00177A13"/>
    <w:rsid w:val="00177E24"/>
    <w:rsid w:val="00177FE1"/>
    <w:rsid w:val="001803A9"/>
    <w:rsid w:val="001806C9"/>
    <w:rsid w:val="00180A34"/>
    <w:rsid w:val="00180BDA"/>
    <w:rsid w:val="001810B2"/>
    <w:rsid w:val="00181104"/>
    <w:rsid w:val="00181296"/>
    <w:rsid w:val="001816EF"/>
    <w:rsid w:val="001817D8"/>
    <w:rsid w:val="00181874"/>
    <w:rsid w:val="00181B2C"/>
    <w:rsid w:val="00181E82"/>
    <w:rsid w:val="0018214B"/>
    <w:rsid w:val="0018226D"/>
    <w:rsid w:val="0018236D"/>
    <w:rsid w:val="00182476"/>
    <w:rsid w:val="00182ABD"/>
    <w:rsid w:val="00183686"/>
    <w:rsid w:val="001837CD"/>
    <w:rsid w:val="00183824"/>
    <w:rsid w:val="00183BCA"/>
    <w:rsid w:val="00183D43"/>
    <w:rsid w:val="00183EA8"/>
    <w:rsid w:val="00184577"/>
    <w:rsid w:val="001846DF"/>
    <w:rsid w:val="00184A1F"/>
    <w:rsid w:val="00184A27"/>
    <w:rsid w:val="00184AF9"/>
    <w:rsid w:val="0018505B"/>
    <w:rsid w:val="001851AB"/>
    <w:rsid w:val="001851C8"/>
    <w:rsid w:val="0018524A"/>
    <w:rsid w:val="00185630"/>
    <w:rsid w:val="00185A41"/>
    <w:rsid w:val="00186176"/>
    <w:rsid w:val="00186ACF"/>
    <w:rsid w:val="00186FE4"/>
    <w:rsid w:val="00187056"/>
    <w:rsid w:val="001870F6"/>
    <w:rsid w:val="0018779C"/>
    <w:rsid w:val="0019002D"/>
    <w:rsid w:val="00190251"/>
    <w:rsid w:val="00190350"/>
    <w:rsid w:val="0019070F"/>
    <w:rsid w:val="001907E3"/>
    <w:rsid w:val="0019083B"/>
    <w:rsid w:val="00190EA9"/>
    <w:rsid w:val="001910FA"/>
    <w:rsid w:val="0019131E"/>
    <w:rsid w:val="00191491"/>
    <w:rsid w:val="001914E7"/>
    <w:rsid w:val="001919C9"/>
    <w:rsid w:val="00191FC5"/>
    <w:rsid w:val="0019262C"/>
    <w:rsid w:val="0019358A"/>
    <w:rsid w:val="001937AE"/>
    <w:rsid w:val="00193A2D"/>
    <w:rsid w:val="001940C1"/>
    <w:rsid w:val="00194632"/>
    <w:rsid w:val="00194983"/>
    <w:rsid w:val="0019500A"/>
    <w:rsid w:val="0019538B"/>
    <w:rsid w:val="00195539"/>
    <w:rsid w:val="001959E4"/>
    <w:rsid w:val="00195C9B"/>
    <w:rsid w:val="00196232"/>
    <w:rsid w:val="001963FB"/>
    <w:rsid w:val="001965F5"/>
    <w:rsid w:val="00196758"/>
    <w:rsid w:val="00196930"/>
    <w:rsid w:val="00196D5E"/>
    <w:rsid w:val="00197334"/>
    <w:rsid w:val="00197BBE"/>
    <w:rsid w:val="00197C54"/>
    <w:rsid w:val="001A0663"/>
    <w:rsid w:val="001A08B6"/>
    <w:rsid w:val="001A08F2"/>
    <w:rsid w:val="001A0B9F"/>
    <w:rsid w:val="001A0BFF"/>
    <w:rsid w:val="001A1576"/>
    <w:rsid w:val="001A15B7"/>
    <w:rsid w:val="001A1638"/>
    <w:rsid w:val="001A182C"/>
    <w:rsid w:val="001A1CB1"/>
    <w:rsid w:val="001A25C8"/>
    <w:rsid w:val="001A280F"/>
    <w:rsid w:val="001A2B88"/>
    <w:rsid w:val="001A2C1C"/>
    <w:rsid w:val="001A2D2F"/>
    <w:rsid w:val="001A3255"/>
    <w:rsid w:val="001A366C"/>
    <w:rsid w:val="001A38C5"/>
    <w:rsid w:val="001A3AA1"/>
    <w:rsid w:val="001A3F28"/>
    <w:rsid w:val="001A4154"/>
    <w:rsid w:val="001A42D5"/>
    <w:rsid w:val="001A4B4F"/>
    <w:rsid w:val="001A4D4F"/>
    <w:rsid w:val="001A525C"/>
    <w:rsid w:val="001A5453"/>
    <w:rsid w:val="001A58EB"/>
    <w:rsid w:val="001A59A5"/>
    <w:rsid w:val="001A5A1E"/>
    <w:rsid w:val="001A5A98"/>
    <w:rsid w:val="001A5B47"/>
    <w:rsid w:val="001A5C0B"/>
    <w:rsid w:val="001A5CD2"/>
    <w:rsid w:val="001A63A8"/>
    <w:rsid w:val="001A64AD"/>
    <w:rsid w:val="001A6893"/>
    <w:rsid w:val="001A69BA"/>
    <w:rsid w:val="001A6B35"/>
    <w:rsid w:val="001A6B47"/>
    <w:rsid w:val="001A6BDA"/>
    <w:rsid w:val="001A6F30"/>
    <w:rsid w:val="001A72D6"/>
    <w:rsid w:val="001A77BD"/>
    <w:rsid w:val="001A7964"/>
    <w:rsid w:val="001A7B2C"/>
    <w:rsid w:val="001A7C98"/>
    <w:rsid w:val="001B0892"/>
    <w:rsid w:val="001B09B6"/>
    <w:rsid w:val="001B0C42"/>
    <w:rsid w:val="001B12F1"/>
    <w:rsid w:val="001B14AC"/>
    <w:rsid w:val="001B19E4"/>
    <w:rsid w:val="001B1A1C"/>
    <w:rsid w:val="001B1B9C"/>
    <w:rsid w:val="001B1C9E"/>
    <w:rsid w:val="001B25BB"/>
    <w:rsid w:val="001B2949"/>
    <w:rsid w:val="001B2AE9"/>
    <w:rsid w:val="001B3066"/>
    <w:rsid w:val="001B36B9"/>
    <w:rsid w:val="001B37D0"/>
    <w:rsid w:val="001B3CB4"/>
    <w:rsid w:val="001B3E5D"/>
    <w:rsid w:val="001B3F35"/>
    <w:rsid w:val="001B432B"/>
    <w:rsid w:val="001B46AF"/>
    <w:rsid w:val="001B47BF"/>
    <w:rsid w:val="001B485B"/>
    <w:rsid w:val="001B49FD"/>
    <w:rsid w:val="001B4A48"/>
    <w:rsid w:val="001B4EF5"/>
    <w:rsid w:val="001B5153"/>
    <w:rsid w:val="001B516D"/>
    <w:rsid w:val="001B5307"/>
    <w:rsid w:val="001B5995"/>
    <w:rsid w:val="001B5BD4"/>
    <w:rsid w:val="001B5C3B"/>
    <w:rsid w:val="001B5EA4"/>
    <w:rsid w:val="001B602F"/>
    <w:rsid w:val="001B61AD"/>
    <w:rsid w:val="001B6840"/>
    <w:rsid w:val="001B6B5A"/>
    <w:rsid w:val="001B6D1F"/>
    <w:rsid w:val="001B757F"/>
    <w:rsid w:val="001B76A9"/>
    <w:rsid w:val="001B78F3"/>
    <w:rsid w:val="001B7A26"/>
    <w:rsid w:val="001B7C14"/>
    <w:rsid w:val="001B7FF2"/>
    <w:rsid w:val="001C01F1"/>
    <w:rsid w:val="001C0380"/>
    <w:rsid w:val="001C055A"/>
    <w:rsid w:val="001C05D1"/>
    <w:rsid w:val="001C07BE"/>
    <w:rsid w:val="001C0CDE"/>
    <w:rsid w:val="001C0E3B"/>
    <w:rsid w:val="001C100B"/>
    <w:rsid w:val="001C11A3"/>
    <w:rsid w:val="001C160F"/>
    <w:rsid w:val="001C1613"/>
    <w:rsid w:val="001C1696"/>
    <w:rsid w:val="001C170B"/>
    <w:rsid w:val="001C1717"/>
    <w:rsid w:val="001C19A5"/>
    <w:rsid w:val="001C1F16"/>
    <w:rsid w:val="001C2274"/>
    <w:rsid w:val="001C2CDD"/>
    <w:rsid w:val="001C2F3B"/>
    <w:rsid w:val="001C3007"/>
    <w:rsid w:val="001C3372"/>
    <w:rsid w:val="001C338E"/>
    <w:rsid w:val="001C3417"/>
    <w:rsid w:val="001C34FE"/>
    <w:rsid w:val="001C36C5"/>
    <w:rsid w:val="001C3774"/>
    <w:rsid w:val="001C3BB2"/>
    <w:rsid w:val="001C3EA9"/>
    <w:rsid w:val="001C40B5"/>
    <w:rsid w:val="001C4492"/>
    <w:rsid w:val="001C46DD"/>
    <w:rsid w:val="001C47D3"/>
    <w:rsid w:val="001C4A04"/>
    <w:rsid w:val="001C5F00"/>
    <w:rsid w:val="001C5F19"/>
    <w:rsid w:val="001C6001"/>
    <w:rsid w:val="001C63A2"/>
    <w:rsid w:val="001C6E72"/>
    <w:rsid w:val="001C70CD"/>
    <w:rsid w:val="001C7251"/>
    <w:rsid w:val="001C774A"/>
    <w:rsid w:val="001C7AF9"/>
    <w:rsid w:val="001C7E35"/>
    <w:rsid w:val="001C7F8E"/>
    <w:rsid w:val="001D0332"/>
    <w:rsid w:val="001D0793"/>
    <w:rsid w:val="001D085F"/>
    <w:rsid w:val="001D0EBE"/>
    <w:rsid w:val="001D11E2"/>
    <w:rsid w:val="001D18C7"/>
    <w:rsid w:val="001D1CDB"/>
    <w:rsid w:val="001D2406"/>
    <w:rsid w:val="001D2BA6"/>
    <w:rsid w:val="001D2EE8"/>
    <w:rsid w:val="001D32A8"/>
    <w:rsid w:val="001D34A6"/>
    <w:rsid w:val="001D34C8"/>
    <w:rsid w:val="001D3735"/>
    <w:rsid w:val="001D3840"/>
    <w:rsid w:val="001D391C"/>
    <w:rsid w:val="001D45EF"/>
    <w:rsid w:val="001D4737"/>
    <w:rsid w:val="001D4844"/>
    <w:rsid w:val="001D4DD2"/>
    <w:rsid w:val="001D4E8F"/>
    <w:rsid w:val="001D4F14"/>
    <w:rsid w:val="001D5126"/>
    <w:rsid w:val="001D535E"/>
    <w:rsid w:val="001D5794"/>
    <w:rsid w:val="001D57CA"/>
    <w:rsid w:val="001D57EA"/>
    <w:rsid w:val="001D5823"/>
    <w:rsid w:val="001D5AD4"/>
    <w:rsid w:val="001D5B97"/>
    <w:rsid w:val="001D5E05"/>
    <w:rsid w:val="001D6007"/>
    <w:rsid w:val="001D6528"/>
    <w:rsid w:val="001D654D"/>
    <w:rsid w:val="001D67AC"/>
    <w:rsid w:val="001D6AD9"/>
    <w:rsid w:val="001D6BE9"/>
    <w:rsid w:val="001D6CE2"/>
    <w:rsid w:val="001D6F21"/>
    <w:rsid w:val="001D701C"/>
    <w:rsid w:val="001D773A"/>
    <w:rsid w:val="001D7A2E"/>
    <w:rsid w:val="001D7D4F"/>
    <w:rsid w:val="001D7ECB"/>
    <w:rsid w:val="001E027B"/>
    <w:rsid w:val="001E0285"/>
    <w:rsid w:val="001E0721"/>
    <w:rsid w:val="001E0BDB"/>
    <w:rsid w:val="001E0C4F"/>
    <w:rsid w:val="001E1185"/>
    <w:rsid w:val="001E1325"/>
    <w:rsid w:val="001E1861"/>
    <w:rsid w:val="001E1C4A"/>
    <w:rsid w:val="001E1F53"/>
    <w:rsid w:val="001E1F5F"/>
    <w:rsid w:val="001E2018"/>
    <w:rsid w:val="001E2099"/>
    <w:rsid w:val="001E23F5"/>
    <w:rsid w:val="001E244B"/>
    <w:rsid w:val="001E26BB"/>
    <w:rsid w:val="001E27F1"/>
    <w:rsid w:val="001E2B3A"/>
    <w:rsid w:val="001E2D03"/>
    <w:rsid w:val="001E2E10"/>
    <w:rsid w:val="001E32D5"/>
    <w:rsid w:val="001E34F4"/>
    <w:rsid w:val="001E3670"/>
    <w:rsid w:val="001E371E"/>
    <w:rsid w:val="001E3786"/>
    <w:rsid w:val="001E39FF"/>
    <w:rsid w:val="001E3BD4"/>
    <w:rsid w:val="001E41D3"/>
    <w:rsid w:val="001E4A0B"/>
    <w:rsid w:val="001E4A5E"/>
    <w:rsid w:val="001E4B40"/>
    <w:rsid w:val="001E4DA6"/>
    <w:rsid w:val="001E4FF3"/>
    <w:rsid w:val="001E551B"/>
    <w:rsid w:val="001E57C9"/>
    <w:rsid w:val="001E5847"/>
    <w:rsid w:val="001E5C97"/>
    <w:rsid w:val="001E6291"/>
    <w:rsid w:val="001E6845"/>
    <w:rsid w:val="001E6A2A"/>
    <w:rsid w:val="001E6E16"/>
    <w:rsid w:val="001E7160"/>
    <w:rsid w:val="001E7236"/>
    <w:rsid w:val="001E7396"/>
    <w:rsid w:val="001E7486"/>
    <w:rsid w:val="001E7505"/>
    <w:rsid w:val="001E759A"/>
    <w:rsid w:val="001E7602"/>
    <w:rsid w:val="001E780A"/>
    <w:rsid w:val="001F08F6"/>
    <w:rsid w:val="001F0C4C"/>
    <w:rsid w:val="001F0D55"/>
    <w:rsid w:val="001F0E55"/>
    <w:rsid w:val="001F100E"/>
    <w:rsid w:val="001F1274"/>
    <w:rsid w:val="001F133D"/>
    <w:rsid w:val="001F1CD8"/>
    <w:rsid w:val="001F25A7"/>
    <w:rsid w:val="001F25C7"/>
    <w:rsid w:val="001F2A28"/>
    <w:rsid w:val="001F388B"/>
    <w:rsid w:val="001F38C2"/>
    <w:rsid w:val="001F3FF0"/>
    <w:rsid w:val="001F40E4"/>
    <w:rsid w:val="001F4420"/>
    <w:rsid w:val="001F4A7C"/>
    <w:rsid w:val="001F4A81"/>
    <w:rsid w:val="001F4E91"/>
    <w:rsid w:val="001F5588"/>
    <w:rsid w:val="001F5768"/>
    <w:rsid w:val="001F58F8"/>
    <w:rsid w:val="001F5958"/>
    <w:rsid w:val="001F5B52"/>
    <w:rsid w:val="001F6447"/>
    <w:rsid w:val="001F6788"/>
    <w:rsid w:val="001F6940"/>
    <w:rsid w:val="001F6956"/>
    <w:rsid w:val="001F702C"/>
    <w:rsid w:val="001F75BC"/>
    <w:rsid w:val="001F7881"/>
    <w:rsid w:val="001F7C79"/>
    <w:rsid w:val="001F7F4E"/>
    <w:rsid w:val="001F7F5C"/>
    <w:rsid w:val="0020005B"/>
    <w:rsid w:val="002002D6"/>
    <w:rsid w:val="0020031C"/>
    <w:rsid w:val="00200357"/>
    <w:rsid w:val="0020073F"/>
    <w:rsid w:val="00200946"/>
    <w:rsid w:val="0020099A"/>
    <w:rsid w:val="002009F5"/>
    <w:rsid w:val="00200A54"/>
    <w:rsid w:val="00200A60"/>
    <w:rsid w:val="00200A67"/>
    <w:rsid w:val="00200DFB"/>
    <w:rsid w:val="00201106"/>
    <w:rsid w:val="00201110"/>
    <w:rsid w:val="00201212"/>
    <w:rsid w:val="002014EB"/>
    <w:rsid w:val="002017EC"/>
    <w:rsid w:val="00201E79"/>
    <w:rsid w:val="00201F37"/>
    <w:rsid w:val="0020229B"/>
    <w:rsid w:val="002025ED"/>
    <w:rsid w:val="002028BC"/>
    <w:rsid w:val="00202A06"/>
    <w:rsid w:val="00202AAA"/>
    <w:rsid w:val="00202B73"/>
    <w:rsid w:val="00203119"/>
    <w:rsid w:val="002034E2"/>
    <w:rsid w:val="00203DA1"/>
    <w:rsid w:val="002045BF"/>
    <w:rsid w:val="0020475B"/>
    <w:rsid w:val="00204BA7"/>
    <w:rsid w:val="0020507A"/>
    <w:rsid w:val="00205732"/>
    <w:rsid w:val="00205BF9"/>
    <w:rsid w:val="00205DC8"/>
    <w:rsid w:val="00205EAC"/>
    <w:rsid w:val="002066C3"/>
    <w:rsid w:val="0020697B"/>
    <w:rsid w:val="00206B46"/>
    <w:rsid w:val="00206C32"/>
    <w:rsid w:val="00206F90"/>
    <w:rsid w:val="00207125"/>
    <w:rsid w:val="002077F7"/>
    <w:rsid w:val="002079D0"/>
    <w:rsid w:val="002079F6"/>
    <w:rsid w:val="00207B57"/>
    <w:rsid w:val="00207B88"/>
    <w:rsid w:val="00207E5F"/>
    <w:rsid w:val="00207FA3"/>
    <w:rsid w:val="00207FD6"/>
    <w:rsid w:val="00210310"/>
    <w:rsid w:val="0021082D"/>
    <w:rsid w:val="002108F7"/>
    <w:rsid w:val="00210D01"/>
    <w:rsid w:val="00211508"/>
    <w:rsid w:val="0021176D"/>
    <w:rsid w:val="00211C0E"/>
    <w:rsid w:val="00211FDD"/>
    <w:rsid w:val="0021232C"/>
    <w:rsid w:val="00212402"/>
    <w:rsid w:val="0021253E"/>
    <w:rsid w:val="00212ADE"/>
    <w:rsid w:val="00212E92"/>
    <w:rsid w:val="00212E9B"/>
    <w:rsid w:val="002133E7"/>
    <w:rsid w:val="0021372D"/>
    <w:rsid w:val="00213AE6"/>
    <w:rsid w:val="00213B56"/>
    <w:rsid w:val="00213E25"/>
    <w:rsid w:val="002145C9"/>
    <w:rsid w:val="002145EB"/>
    <w:rsid w:val="00214766"/>
    <w:rsid w:val="00214F92"/>
    <w:rsid w:val="00214FBB"/>
    <w:rsid w:val="00215F4F"/>
    <w:rsid w:val="00216842"/>
    <w:rsid w:val="002169C8"/>
    <w:rsid w:val="00216A1B"/>
    <w:rsid w:val="00216AAF"/>
    <w:rsid w:val="00216EC8"/>
    <w:rsid w:val="00216ED7"/>
    <w:rsid w:val="0021712D"/>
    <w:rsid w:val="00217190"/>
    <w:rsid w:val="002171BF"/>
    <w:rsid w:val="0021759C"/>
    <w:rsid w:val="002175F8"/>
    <w:rsid w:val="0021760D"/>
    <w:rsid w:val="00217718"/>
    <w:rsid w:val="002177DB"/>
    <w:rsid w:val="00217AAF"/>
    <w:rsid w:val="002200EB"/>
    <w:rsid w:val="00220331"/>
    <w:rsid w:val="00220684"/>
    <w:rsid w:val="0022095F"/>
    <w:rsid w:val="00220B84"/>
    <w:rsid w:val="00220CD4"/>
    <w:rsid w:val="00220EAC"/>
    <w:rsid w:val="002213DC"/>
    <w:rsid w:val="00222635"/>
    <w:rsid w:val="002226D9"/>
    <w:rsid w:val="0022288B"/>
    <w:rsid w:val="00222C1F"/>
    <w:rsid w:val="00222D63"/>
    <w:rsid w:val="002230AE"/>
    <w:rsid w:val="002237D5"/>
    <w:rsid w:val="00223D11"/>
    <w:rsid w:val="0022460F"/>
    <w:rsid w:val="0022467D"/>
    <w:rsid w:val="00224683"/>
    <w:rsid w:val="002252DA"/>
    <w:rsid w:val="00225553"/>
    <w:rsid w:val="002255D9"/>
    <w:rsid w:val="002255E5"/>
    <w:rsid w:val="002257BF"/>
    <w:rsid w:val="00225D20"/>
    <w:rsid w:val="00225DBA"/>
    <w:rsid w:val="002263F1"/>
    <w:rsid w:val="0022680E"/>
    <w:rsid w:val="002269A3"/>
    <w:rsid w:val="00226A8E"/>
    <w:rsid w:val="00226D50"/>
    <w:rsid w:val="00226F45"/>
    <w:rsid w:val="0022739C"/>
    <w:rsid w:val="00227555"/>
    <w:rsid w:val="00227691"/>
    <w:rsid w:val="00227692"/>
    <w:rsid w:val="00227698"/>
    <w:rsid w:val="0022776A"/>
    <w:rsid w:val="00227D1B"/>
    <w:rsid w:val="00227E61"/>
    <w:rsid w:val="00230541"/>
    <w:rsid w:val="00230553"/>
    <w:rsid w:val="0023063F"/>
    <w:rsid w:val="00230C19"/>
    <w:rsid w:val="00230C4A"/>
    <w:rsid w:val="00230E6E"/>
    <w:rsid w:val="00230E9C"/>
    <w:rsid w:val="00230FF1"/>
    <w:rsid w:val="0023125B"/>
    <w:rsid w:val="00231EAC"/>
    <w:rsid w:val="00231F9F"/>
    <w:rsid w:val="0023202A"/>
    <w:rsid w:val="002322F8"/>
    <w:rsid w:val="0023230F"/>
    <w:rsid w:val="002323BF"/>
    <w:rsid w:val="00232516"/>
    <w:rsid w:val="0023282E"/>
    <w:rsid w:val="002328E0"/>
    <w:rsid w:val="00232E71"/>
    <w:rsid w:val="00232F6E"/>
    <w:rsid w:val="00233734"/>
    <w:rsid w:val="00233818"/>
    <w:rsid w:val="00233974"/>
    <w:rsid w:val="0023403B"/>
    <w:rsid w:val="00234462"/>
    <w:rsid w:val="002345AF"/>
    <w:rsid w:val="00234A08"/>
    <w:rsid w:val="00234E0D"/>
    <w:rsid w:val="00235EFE"/>
    <w:rsid w:val="002368A2"/>
    <w:rsid w:val="00236933"/>
    <w:rsid w:val="00237541"/>
    <w:rsid w:val="00237728"/>
    <w:rsid w:val="002377B0"/>
    <w:rsid w:val="0023783B"/>
    <w:rsid w:val="00237A4E"/>
    <w:rsid w:val="00237D13"/>
    <w:rsid w:val="00237D28"/>
    <w:rsid w:val="00237D67"/>
    <w:rsid w:val="00237F16"/>
    <w:rsid w:val="0024038D"/>
    <w:rsid w:val="002405CE"/>
    <w:rsid w:val="002407C5"/>
    <w:rsid w:val="00240E12"/>
    <w:rsid w:val="00240FC3"/>
    <w:rsid w:val="002414DC"/>
    <w:rsid w:val="00241898"/>
    <w:rsid w:val="00241B9E"/>
    <w:rsid w:val="00241F96"/>
    <w:rsid w:val="00242336"/>
    <w:rsid w:val="00242667"/>
    <w:rsid w:val="00242684"/>
    <w:rsid w:val="00242A47"/>
    <w:rsid w:val="00242B7B"/>
    <w:rsid w:val="00242CFD"/>
    <w:rsid w:val="00242E6D"/>
    <w:rsid w:val="00243222"/>
    <w:rsid w:val="0024329B"/>
    <w:rsid w:val="002433C0"/>
    <w:rsid w:val="002434E0"/>
    <w:rsid w:val="00243663"/>
    <w:rsid w:val="00243D7D"/>
    <w:rsid w:val="00243E5D"/>
    <w:rsid w:val="002442F1"/>
    <w:rsid w:val="00244BA8"/>
    <w:rsid w:val="00244CD9"/>
    <w:rsid w:val="002450B4"/>
    <w:rsid w:val="002453F8"/>
    <w:rsid w:val="002459FD"/>
    <w:rsid w:val="00245D51"/>
    <w:rsid w:val="00245EA4"/>
    <w:rsid w:val="00246260"/>
    <w:rsid w:val="002463FB"/>
    <w:rsid w:val="00246779"/>
    <w:rsid w:val="00246AF1"/>
    <w:rsid w:val="00246C6A"/>
    <w:rsid w:val="00246C8B"/>
    <w:rsid w:val="00246DC8"/>
    <w:rsid w:val="00246FDF"/>
    <w:rsid w:val="002470DE"/>
    <w:rsid w:val="002473D8"/>
    <w:rsid w:val="00247522"/>
    <w:rsid w:val="002476F5"/>
    <w:rsid w:val="002478CE"/>
    <w:rsid w:val="002500F6"/>
    <w:rsid w:val="002501A0"/>
    <w:rsid w:val="00250572"/>
    <w:rsid w:val="00250A0E"/>
    <w:rsid w:val="00250A1D"/>
    <w:rsid w:val="00250EA1"/>
    <w:rsid w:val="00250EF6"/>
    <w:rsid w:val="00251708"/>
    <w:rsid w:val="00251C60"/>
    <w:rsid w:val="00251F42"/>
    <w:rsid w:val="00251F8F"/>
    <w:rsid w:val="002524AA"/>
    <w:rsid w:val="00252803"/>
    <w:rsid w:val="00252811"/>
    <w:rsid w:val="002528C7"/>
    <w:rsid w:val="00252B2F"/>
    <w:rsid w:val="00253780"/>
    <w:rsid w:val="00253853"/>
    <w:rsid w:val="002538EB"/>
    <w:rsid w:val="0025390C"/>
    <w:rsid w:val="00253972"/>
    <w:rsid w:val="00253A6E"/>
    <w:rsid w:val="00253CEA"/>
    <w:rsid w:val="00253F11"/>
    <w:rsid w:val="00253F6A"/>
    <w:rsid w:val="00254613"/>
    <w:rsid w:val="00254B25"/>
    <w:rsid w:val="00254C84"/>
    <w:rsid w:val="00255045"/>
    <w:rsid w:val="00255381"/>
    <w:rsid w:val="0025539E"/>
    <w:rsid w:val="002554CE"/>
    <w:rsid w:val="00255D00"/>
    <w:rsid w:val="002561A6"/>
    <w:rsid w:val="00256DB8"/>
    <w:rsid w:val="00256E47"/>
    <w:rsid w:val="00256EDD"/>
    <w:rsid w:val="00257139"/>
    <w:rsid w:val="0025755C"/>
    <w:rsid w:val="00257AD4"/>
    <w:rsid w:val="00257FE1"/>
    <w:rsid w:val="00260437"/>
    <w:rsid w:val="0026069B"/>
    <w:rsid w:val="0026096E"/>
    <w:rsid w:val="00260C07"/>
    <w:rsid w:val="00260D4A"/>
    <w:rsid w:val="0026147B"/>
    <w:rsid w:val="00261A97"/>
    <w:rsid w:val="00261BD8"/>
    <w:rsid w:val="00261EC0"/>
    <w:rsid w:val="00261EEE"/>
    <w:rsid w:val="00262116"/>
    <w:rsid w:val="00262558"/>
    <w:rsid w:val="00262B23"/>
    <w:rsid w:val="00262D3F"/>
    <w:rsid w:val="00262DF2"/>
    <w:rsid w:val="00262E97"/>
    <w:rsid w:val="00262E9C"/>
    <w:rsid w:val="002631C6"/>
    <w:rsid w:val="002633D8"/>
    <w:rsid w:val="00263949"/>
    <w:rsid w:val="00263C05"/>
    <w:rsid w:val="002640FF"/>
    <w:rsid w:val="00264329"/>
    <w:rsid w:val="00264981"/>
    <w:rsid w:val="00264A7F"/>
    <w:rsid w:val="00264B1B"/>
    <w:rsid w:val="00264D8F"/>
    <w:rsid w:val="00264DBF"/>
    <w:rsid w:val="002651A1"/>
    <w:rsid w:val="002652DC"/>
    <w:rsid w:val="0026569B"/>
    <w:rsid w:val="002658F9"/>
    <w:rsid w:val="00265C7D"/>
    <w:rsid w:val="00265D23"/>
    <w:rsid w:val="00266F17"/>
    <w:rsid w:val="00267A2C"/>
    <w:rsid w:val="00267CD9"/>
    <w:rsid w:val="00267E7F"/>
    <w:rsid w:val="0027024F"/>
    <w:rsid w:val="00270464"/>
    <w:rsid w:val="0027051F"/>
    <w:rsid w:val="00270585"/>
    <w:rsid w:val="002713D6"/>
    <w:rsid w:val="00271475"/>
    <w:rsid w:val="0027163F"/>
    <w:rsid w:val="002723A4"/>
    <w:rsid w:val="00272768"/>
    <w:rsid w:val="00272912"/>
    <w:rsid w:val="00272AE7"/>
    <w:rsid w:val="00272AF9"/>
    <w:rsid w:val="00272C89"/>
    <w:rsid w:val="00272F57"/>
    <w:rsid w:val="0027388C"/>
    <w:rsid w:val="00274046"/>
    <w:rsid w:val="002743F9"/>
    <w:rsid w:val="00274645"/>
    <w:rsid w:val="00274F6A"/>
    <w:rsid w:val="00275629"/>
    <w:rsid w:val="00275BBA"/>
    <w:rsid w:val="00275BE3"/>
    <w:rsid w:val="00275C5A"/>
    <w:rsid w:val="00275E63"/>
    <w:rsid w:val="00275EDD"/>
    <w:rsid w:val="0027619B"/>
    <w:rsid w:val="002761B8"/>
    <w:rsid w:val="00276251"/>
    <w:rsid w:val="00276399"/>
    <w:rsid w:val="00276D9D"/>
    <w:rsid w:val="00276E1C"/>
    <w:rsid w:val="0027704E"/>
    <w:rsid w:val="002771DB"/>
    <w:rsid w:val="00277287"/>
    <w:rsid w:val="0027764E"/>
    <w:rsid w:val="0027797A"/>
    <w:rsid w:val="00277AC8"/>
    <w:rsid w:val="00277CD6"/>
    <w:rsid w:val="00277E77"/>
    <w:rsid w:val="00280345"/>
    <w:rsid w:val="00280349"/>
    <w:rsid w:val="0028079D"/>
    <w:rsid w:val="002807C2"/>
    <w:rsid w:val="002808E4"/>
    <w:rsid w:val="00280C44"/>
    <w:rsid w:val="00280C49"/>
    <w:rsid w:val="00280C60"/>
    <w:rsid w:val="002813C4"/>
    <w:rsid w:val="00281591"/>
    <w:rsid w:val="00281F65"/>
    <w:rsid w:val="00282171"/>
    <w:rsid w:val="00282234"/>
    <w:rsid w:val="0028260C"/>
    <w:rsid w:val="002829A9"/>
    <w:rsid w:val="00282B7B"/>
    <w:rsid w:val="00283084"/>
    <w:rsid w:val="002830FE"/>
    <w:rsid w:val="00283A03"/>
    <w:rsid w:val="00283D82"/>
    <w:rsid w:val="00283ECD"/>
    <w:rsid w:val="0028477A"/>
    <w:rsid w:val="002847D3"/>
    <w:rsid w:val="002847E5"/>
    <w:rsid w:val="00284DFD"/>
    <w:rsid w:val="00284F34"/>
    <w:rsid w:val="00285069"/>
    <w:rsid w:val="002850BB"/>
    <w:rsid w:val="002853B7"/>
    <w:rsid w:val="0028562B"/>
    <w:rsid w:val="00285CD5"/>
    <w:rsid w:val="002866F7"/>
    <w:rsid w:val="002867DC"/>
    <w:rsid w:val="00286D38"/>
    <w:rsid w:val="00286DBD"/>
    <w:rsid w:val="00286F9F"/>
    <w:rsid w:val="00287592"/>
    <w:rsid w:val="00287697"/>
    <w:rsid w:val="0028787E"/>
    <w:rsid w:val="0028795D"/>
    <w:rsid w:val="00287AB1"/>
    <w:rsid w:val="0029016E"/>
    <w:rsid w:val="002902CC"/>
    <w:rsid w:val="00290586"/>
    <w:rsid w:val="0029084E"/>
    <w:rsid w:val="00290C15"/>
    <w:rsid w:val="00290D52"/>
    <w:rsid w:val="00290DD8"/>
    <w:rsid w:val="00290F25"/>
    <w:rsid w:val="00291089"/>
    <w:rsid w:val="002910E7"/>
    <w:rsid w:val="00291233"/>
    <w:rsid w:val="00291320"/>
    <w:rsid w:val="00291D05"/>
    <w:rsid w:val="00291D32"/>
    <w:rsid w:val="00291FDC"/>
    <w:rsid w:val="0029236F"/>
    <w:rsid w:val="002924B7"/>
    <w:rsid w:val="00292516"/>
    <w:rsid w:val="00292685"/>
    <w:rsid w:val="002927D2"/>
    <w:rsid w:val="00292814"/>
    <w:rsid w:val="00292AF4"/>
    <w:rsid w:val="002931F3"/>
    <w:rsid w:val="00293595"/>
    <w:rsid w:val="002935A2"/>
    <w:rsid w:val="00293823"/>
    <w:rsid w:val="00293D4D"/>
    <w:rsid w:val="00293F7D"/>
    <w:rsid w:val="00294035"/>
    <w:rsid w:val="00294131"/>
    <w:rsid w:val="0029430B"/>
    <w:rsid w:val="00294728"/>
    <w:rsid w:val="0029486F"/>
    <w:rsid w:val="00294874"/>
    <w:rsid w:val="00294A76"/>
    <w:rsid w:val="00294B6F"/>
    <w:rsid w:val="00294CB3"/>
    <w:rsid w:val="0029503E"/>
    <w:rsid w:val="00295554"/>
    <w:rsid w:val="0029556A"/>
    <w:rsid w:val="00295652"/>
    <w:rsid w:val="00295AB2"/>
    <w:rsid w:val="00295AD2"/>
    <w:rsid w:val="00295B62"/>
    <w:rsid w:val="00296482"/>
    <w:rsid w:val="0029649F"/>
    <w:rsid w:val="00296810"/>
    <w:rsid w:val="00296DB6"/>
    <w:rsid w:val="00296F3D"/>
    <w:rsid w:val="00296F7B"/>
    <w:rsid w:val="0029713A"/>
    <w:rsid w:val="0029725D"/>
    <w:rsid w:val="002972CE"/>
    <w:rsid w:val="0029741E"/>
    <w:rsid w:val="0029744A"/>
    <w:rsid w:val="0029761F"/>
    <w:rsid w:val="00297823"/>
    <w:rsid w:val="00297C4E"/>
    <w:rsid w:val="00297D67"/>
    <w:rsid w:val="002A0295"/>
    <w:rsid w:val="002A0DB5"/>
    <w:rsid w:val="002A13EB"/>
    <w:rsid w:val="002A158C"/>
    <w:rsid w:val="002A167F"/>
    <w:rsid w:val="002A2403"/>
    <w:rsid w:val="002A2437"/>
    <w:rsid w:val="002A261F"/>
    <w:rsid w:val="002A32FD"/>
    <w:rsid w:val="002A3C50"/>
    <w:rsid w:val="002A3CE4"/>
    <w:rsid w:val="002A3D18"/>
    <w:rsid w:val="002A3FD6"/>
    <w:rsid w:val="002A4231"/>
    <w:rsid w:val="002A42C5"/>
    <w:rsid w:val="002A42D6"/>
    <w:rsid w:val="002A443A"/>
    <w:rsid w:val="002A4465"/>
    <w:rsid w:val="002A447C"/>
    <w:rsid w:val="002A463C"/>
    <w:rsid w:val="002A4971"/>
    <w:rsid w:val="002A4982"/>
    <w:rsid w:val="002A4A60"/>
    <w:rsid w:val="002A4C16"/>
    <w:rsid w:val="002A4CA6"/>
    <w:rsid w:val="002A4CAE"/>
    <w:rsid w:val="002A4DCD"/>
    <w:rsid w:val="002A5001"/>
    <w:rsid w:val="002A517D"/>
    <w:rsid w:val="002A51A4"/>
    <w:rsid w:val="002A549B"/>
    <w:rsid w:val="002A549E"/>
    <w:rsid w:val="002A5710"/>
    <w:rsid w:val="002A581E"/>
    <w:rsid w:val="002A5B22"/>
    <w:rsid w:val="002A60BF"/>
    <w:rsid w:val="002A6A39"/>
    <w:rsid w:val="002A6E82"/>
    <w:rsid w:val="002A6FF0"/>
    <w:rsid w:val="002A7482"/>
    <w:rsid w:val="002A7704"/>
    <w:rsid w:val="002A7C6A"/>
    <w:rsid w:val="002A7D7E"/>
    <w:rsid w:val="002B01DD"/>
    <w:rsid w:val="002B023B"/>
    <w:rsid w:val="002B0321"/>
    <w:rsid w:val="002B04EE"/>
    <w:rsid w:val="002B07D1"/>
    <w:rsid w:val="002B09C5"/>
    <w:rsid w:val="002B0B61"/>
    <w:rsid w:val="002B11EE"/>
    <w:rsid w:val="002B1548"/>
    <w:rsid w:val="002B19AE"/>
    <w:rsid w:val="002B1D79"/>
    <w:rsid w:val="002B1E85"/>
    <w:rsid w:val="002B20B0"/>
    <w:rsid w:val="002B246F"/>
    <w:rsid w:val="002B2691"/>
    <w:rsid w:val="002B26F3"/>
    <w:rsid w:val="002B28AE"/>
    <w:rsid w:val="002B29AD"/>
    <w:rsid w:val="002B2C75"/>
    <w:rsid w:val="002B3538"/>
    <w:rsid w:val="002B3AC0"/>
    <w:rsid w:val="002B3D59"/>
    <w:rsid w:val="002B3EC1"/>
    <w:rsid w:val="002B406E"/>
    <w:rsid w:val="002B438D"/>
    <w:rsid w:val="002B4B52"/>
    <w:rsid w:val="002B50DD"/>
    <w:rsid w:val="002B5154"/>
    <w:rsid w:val="002B524C"/>
    <w:rsid w:val="002B5812"/>
    <w:rsid w:val="002B5B6D"/>
    <w:rsid w:val="002B5D33"/>
    <w:rsid w:val="002B5D96"/>
    <w:rsid w:val="002B5E14"/>
    <w:rsid w:val="002B5E24"/>
    <w:rsid w:val="002B5EB1"/>
    <w:rsid w:val="002B646A"/>
    <w:rsid w:val="002B64A1"/>
    <w:rsid w:val="002B6AE2"/>
    <w:rsid w:val="002B6CA5"/>
    <w:rsid w:val="002B72CB"/>
    <w:rsid w:val="002B73B2"/>
    <w:rsid w:val="002B753A"/>
    <w:rsid w:val="002B75F6"/>
    <w:rsid w:val="002B7766"/>
    <w:rsid w:val="002B7B39"/>
    <w:rsid w:val="002B7C62"/>
    <w:rsid w:val="002B7C95"/>
    <w:rsid w:val="002B7F05"/>
    <w:rsid w:val="002B7F61"/>
    <w:rsid w:val="002C0E25"/>
    <w:rsid w:val="002C13D8"/>
    <w:rsid w:val="002C1473"/>
    <w:rsid w:val="002C1538"/>
    <w:rsid w:val="002C1829"/>
    <w:rsid w:val="002C195B"/>
    <w:rsid w:val="002C1AC1"/>
    <w:rsid w:val="002C1D8B"/>
    <w:rsid w:val="002C23F3"/>
    <w:rsid w:val="002C2431"/>
    <w:rsid w:val="002C284A"/>
    <w:rsid w:val="002C302A"/>
    <w:rsid w:val="002C3328"/>
    <w:rsid w:val="002C358E"/>
    <w:rsid w:val="002C3634"/>
    <w:rsid w:val="002C3D61"/>
    <w:rsid w:val="002C3DF9"/>
    <w:rsid w:val="002C4008"/>
    <w:rsid w:val="002C44C1"/>
    <w:rsid w:val="002C465D"/>
    <w:rsid w:val="002C4963"/>
    <w:rsid w:val="002C4994"/>
    <w:rsid w:val="002C50EE"/>
    <w:rsid w:val="002C5722"/>
    <w:rsid w:val="002C57AB"/>
    <w:rsid w:val="002C5975"/>
    <w:rsid w:val="002C5C60"/>
    <w:rsid w:val="002C5D7A"/>
    <w:rsid w:val="002C6276"/>
    <w:rsid w:val="002C6310"/>
    <w:rsid w:val="002C6332"/>
    <w:rsid w:val="002C6356"/>
    <w:rsid w:val="002C663D"/>
    <w:rsid w:val="002C66F7"/>
    <w:rsid w:val="002C6AEF"/>
    <w:rsid w:val="002C70A1"/>
    <w:rsid w:val="002C7332"/>
    <w:rsid w:val="002C7445"/>
    <w:rsid w:val="002C797E"/>
    <w:rsid w:val="002C7A1D"/>
    <w:rsid w:val="002C7E85"/>
    <w:rsid w:val="002D02AE"/>
    <w:rsid w:val="002D08A9"/>
    <w:rsid w:val="002D0D4F"/>
    <w:rsid w:val="002D110B"/>
    <w:rsid w:val="002D1311"/>
    <w:rsid w:val="002D17AA"/>
    <w:rsid w:val="002D1A0F"/>
    <w:rsid w:val="002D1AEB"/>
    <w:rsid w:val="002D2071"/>
    <w:rsid w:val="002D2124"/>
    <w:rsid w:val="002D21B5"/>
    <w:rsid w:val="002D23C6"/>
    <w:rsid w:val="002D2D89"/>
    <w:rsid w:val="002D2DD9"/>
    <w:rsid w:val="002D3BA8"/>
    <w:rsid w:val="002D3FE8"/>
    <w:rsid w:val="002D3FFD"/>
    <w:rsid w:val="002D409D"/>
    <w:rsid w:val="002D41B1"/>
    <w:rsid w:val="002D4422"/>
    <w:rsid w:val="002D467B"/>
    <w:rsid w:val="002D4735"/>
    <w:rsid w:val="002D4B10"/>
    <w:rsid w:val="002D4DDA"/>
    <w:rsid w:val="002D4E8F"/>
    <w:rsid w:val="002D5181"/>
    <w:rsid w:val="002D51A0"/>
    <w:rsid w:val="002D55E8"/>
    <w:rsid w:val="002D59C6"/>
    <w:rsid w:val="002D5D7A"/>
    <w:rsid w:val="002D5E16"/>
    <w:rsid w:val="002D5E81"/>
    <w:rsid w:val="002D6176"/>
    <w:rsid w:val="002D6C7C"/>
    <w:rsid w:val="002D6F6A"/>
    <w:rsid w:val="002D70A7"/>
    <w:rsid w:val="002D70F8"/>
    <w:rsid w:val="002D7243"/>
    <w:rsid w:val="002D726F"/>
    <w:rsid w:val="002D7386"/>
    <w:rsid w:val="002D74DC"/>
    <w:rsid w:val="002D7CC6"/>
    <w:rsid w:val="002E0111"/>
    <w:rsid w:val="002E017A"/>
    <w:rsid w:val="002E0D52"/>
    <w:rsid w:val="002E0DA7"/>
    <w:rsid w:val="002E1456"/>
    <w:rsid w:val="002E1646"/>
    <w:rsid w:val="002E211D"/>
    <w:rsid w:val="002E21AF"/>
    <w:rsid w:val="002E22AB"/>
    <w:rsid w:val="002E2757"/>
    <w:rsid w:val="002E2A61"/>
    <w:rsid w:val="002E2B27"/>
    <w:rsid w:val="002E2E54"/>
    <w:rsid w:val="002E2F4B"/>
    <w:rsid w:val="002E32AE"/>
    <w:rsid w:val="002E3ECB"/>
    <w:rsid w:val="002E4745"/>
    <w:rsid w:val="002E4ACA"/>
    <w:rsid w:val="002E4DF8"/>
    <w:rsid w:val="002E4F25"/>
    <w:rsid w:val="002E545C"/>
    <w:rsid w:val="002E5473"/>
    <w:rsid w:val="002E54D4"/>
    <w:rsid w:val="002E5552"/>
    <w:rsid w:val="002E5989"/>
    <w:rsid w:val="002E5E4F"/>
    <w:rsid w:val="002E5E86"/>
    <w:rsid w:val="002E5F45"/>
    <w:rsid w:val="002E675D"/>
    <w:rsid w:val="002E697E"/>
    <w:rsid w:val="002E6F5F"/>
    <w:rsid w:val="002E70D7"/>
    <w:rsid w:val="002E77A4"/>
    <w:rsid w:val="002F0B4B"/>
    <w:rsid w:val="002F0EC3"/>
    <w:rsid w:val="002F0FA4"/>
    <w:rsid w:val="002F1298"/>
    <w:rsid w:val="002F158C"/>
    <w:rsid w:val="002F1899"/>
    <w:rsid w:val="002F1A32"/>
    <w:rsid w:val="002F1AEE"/>
    <w:rsid w:val="002F1C4A"/>
    <w:rsid w:val="002F1C56"/>
    <w:rsid w:val="002F1C9E"/>
    <w:rsid w:val="002F1E31"/>
    <w:rsid w:val="002F238B"/>
    <w:rsid w:val="002F25D6"/>
    <w:rsid w:val="002F2905"/>
    <w:rsid w:val="002F2B81"/>
    <w:rsid w:val="002F3495"/>
    <w:rsid w:val="002F3D9D"/>
    <w:rsid w:val="002F3DBF"/>
    <w:rsid w:val="002F3FD4"/>
    <w:rsid w:val="002F4169"/>
    <w:rsid w:val="002F4377"/>
    <w:rsid w:val="002F44BC"/>
    <w:rsid w:val="002F4DDB"/>
    <w:rsid w:val="002F5051"/>
    <w:rsid w:val="002F568B"/>
    <w:rsid w:val="002F5734"/>
    <w:rsid w:val="002F582A"/>
    <w:rsid w:val="002F633C"/>
    <w:rsid w:val="002F64ED"/>
    <w:rsid w:val="002F6A3F"/>
    <w:rsid w:val="002F7204"/>
    <w:rsid w:val="002F7271"/>
    <w:rsid w:val="002F779E"/>
    <w:rsid w:val="003004B2"/>
    <w:rsid w:val="003009ED"/>
    <w:rsid w:val="00300B41"/>
    <w:rsid w:val="0030109F"/>
    <w:rsid w:val="0030117B"/>
    <w:rsid w:val="0030153F"/>
    <w:rsid w:val="003019A8"/>
    <w:rsid w:val="003019F9"/>
    <w:rsid w:val="00301AEE"/>
    <w:rsid w:val="003022B8"/>
    <w:rsid w:val="0030274E"/>
    <w:rsid w:val="00302BFA"/>
    <w:rsid w:val="00302E0F"/>
    <w:rsid w:val="0030329D"/>
    <w:rsid w:val="0030348C"/>
    <w:rsid w:val="0030395E"/>
    <w:rsid w:val="00303B12"/>
    <w:rsid w:val="00303ED8"/>
    <w:rsid w:val="00304060"/>
    <w:rsid w:val="00304076"/>
    <w:rsid w:val="0030449D"/>
    <w:rsid w:val="003049D4"/>
    <w:rsid w:val="00304A2F"/>
    <w:rsid w:val="00304ABE"/>
    <w:rsid w:val="00304B2C"/>
    <w:rsid w:val="00304C90"/>
    <w:rsid w:val="003054B5"/>
    <w:rsid w:val="003055D5"/>
    <w:rsid w:val="003057B0"/>
    <w:rsid w:val="00305F35"/>
    <w:rsid w:val="00306060"/>
    <w:rsid w:val="00306237"/>
    <w:rsid w:val="00306846"/>
    <w:rsid w:val="003075EA"/>
    <w:rsid w:val="003076EA"/>
    <w:rsid w:val="0030777B"/>
    <w:rsid w:val="00307811"/>
    <w:rsid w:val="00307D8E"/>
    <w:rsid w:val="00310119"/>
    <w:rsid w:val="003108F0"/>
    <w:rsid w:val="003111FF"/>
    <w:rsid w:val="00311344"/>
    <w:rsid w:val="003113E6"/>
    <w:rsid w:val="00311445"/>
    <w:rsid w:val="003114A0"/>
    <w:rsid w:val="003115E6"/>
    <w:rsid w:val="00311BBF"/>
    <w:rsid w:val="00311BE7"/>
    <w:rsid w:val="00311CBB"/>
    <w:rsid w:val="00312130"/>
    <w:rsid w:val="003127E5"/>
    <w:rsid w:val="00312E3B"/>
    <w:rsid w:val="00313063"/>
    <w:rsid w:val="003137B0"/>
    <w:rsid w:val="00313A6E"/>
    <w:rsid w:val="00313AFF"/>
    <w:rsid w:val="00313C3D"/>
    <w:rsid w:val="00314253"/>
    <w:rsid w:val="0031432A"/>
    <w:rsid w:val="0031463F"/>
    <w:rsid w:val="0031482B"/>
    <w:rsid w:val="00314963"/>
    <w:rsid w:val="00314B89"/>
    <w:rsid w:val="003151B2"/>
    <w:rsid w:val="0031545E"/>
    <w:rsid w:val="00315504"/>
    <w:rsid w:val="00315852"/>
    <w:rsid w:val="003158A7"/>
    <w:rsid w:val="00315B2F"/>
    <w:rsid w:val="00316164"/>
    <w:rsid w:val="0031675B"/>
    <w:rsid w:val="003168A9"/>
    <w:rsid w:val="00316AF4"/>
    <w:rsid w:val="0031794A"/>
    <w:rsid w:val="00317A3B"/>
    <w:rsid w:val="00317AC3"/>
    <w:rsid w:val="00320491"/>
    <w:rsid w:val="003208A6"/>
    <w:rsid w:val="00320A90"/>
    <w:rsid w:val="00320DBF"/>
    <w:rsid w:val="0032111D"/>
    <w:rsid w:val="003213A1"/>
    <w:rsid w:val="003215AC"/>
    <w:rsid w:val="00321746"/>
    <w:rsid w:val="0032186C"/>
    <w:rsid w:val="003223D9"/>
    <w:rsid w:val="0032253A"/>
    <w:rsid w:val="0032291D"/>
    <w:rsid w:val="00322CBB"/>
    <w:rsid w:val="0032319C"/>
    <w:rsid w:val="0032378B"/>
    <w:rsid w:val="0032391D"/>
    <w:rsid w:val="00323997"/>
    <w:rsid w:val="00323D41"/>
    <w:rsid w:val="00323E59"/>
    <w:rsid w:val="00323FEE"/>
    <w:rsid w:val="00323FFB"/>
    <w:rsid w:val="0032417E"/>
    <w:rsid w:val="003246EC"/>
    <w:rsid w:val="00324ACD"/>
    <w:rsid w:val="00325417"/>
    <w:rsid w:val="003257AA"/>
    <w:rsid w:val="0032583B"/>
    <w:rsid w:val="0032595C"/>
    <w:rsid w:val="00326095"/>
    <w:rsid w:val="00327368"/>
    <w:rsid w:val="00327BFB"/>
    <w:rsid w:val="00327F82"/>
    <w:rsid w:val="00330058"/>
    <w:rsid w:val="0033012E"/>
    <w:rsid w:val="0033027B"/>
    <w:rsid w:val="003306B0"/>
    <w:rsid w:val="00330832"/>
    <w:rsid w:val="00330AA8"/>
    <w:rsid w:val="003310AD"/>
    <w:rsid w:val="00331735"/>
    <w:rsid w:val="0033173C"/>
    <w:rsid w:val="0033195D"/>
    <w:rsid w:val="0033245B"/>
    <w:rsid w:val="00332483"/>
    <w:rsid w:val="003327DE"/>
    <w:rsid w:val="00332A63"/>
    <w:rsid w:val="00332CA7"/>
    <w:rsid w:val="00332CDE"/>
    <w:rsid w:val="0033305E"/>
    <w:rsid w:val="00333573"/>
    <w:rsid w:val="0033376C"/>
    <w:rsid w:val="0033378E"/>
    <w:rsid w:val="00333DFD"/>
    <w:rsid w:val="0033423E"/>
    <w:rsid w:val="003343C5"/>
    <w:rsid w:val="00334589"/>
    <w:rsid w:val="00334839"/>
    <w:rsid w:val="003348EB"/>
    <w:rsid w:val="00334A23"/>
    <w:rsid w:val="00334FDE"/>
    <w:rsid w:val="003354C7"/>
    <w:rsid w:val="0033557E"/>
    <w:rsid w:val="0033571A"/>
    <w:rsid w:val="00335A5E"/>
    <w:rsid w:val="00335C4D"/>
    <w:rsid w:val="00336234"/>
    <w:rsid w:val="003362A8"/>
    <w:rsid w:val="00336444"/>
    <w:rsid w:val="003366C3"/>
    <w:rsid w:val="00337009"/>
    <w:rsid w:val="00337462"/>
    <w:rsid w:val="00337976"/>
    <w:rsid w:val="00337BA6"/>
    <w:rsid w:val="00337CC0"/>
    <w:rsid w:val="0034010B"/>
    <w:rsid w:val="00340137"/>
    <w:rsid w:val="003404F4"/>
    <w:rsid w:val="003404FC"/>
    <w:rsid w:val="0034052A"/>
    <w:rsid w:val="0034065C"/>
    <w:rsid w:val="00340873"/>
    <w:rsid w:val="003408D3"/>
    <w:rsid w:val="003408D5"/>
    <w:rsid w:val="00340A34"/>
    <w:rsid w:val="00340A76"/>
    <w:rsid w:val="00340D3F"/>
    <w:rsid w:val="00341140"/>
    <w:rsid w:val="0034132D"/>
    <w:rsid w:val="0034163D"/>
    <w:rsid w:val="00341825"/>
    <w:rsid w:val="0034187D"/>
    <w:rsid w:val="00341C13"/>
    <w:rsid w:val="00341CB8"/>
    <w:rsid w:val="00341CBF"/>
    <w:rsid w:val="00341DBA"/>
    <w:rsid w:val="0034214E"/>
    <w:rsid w:val="00342AEE"/>
    <w:rsid w:val="00342FDD"/>
    <w:rsid w:val="00343167"/>
    <w:rsid w:val="003434D7"/>
    <w:rsid w:val="003435D2"/>
    <w:rsid w:val="003436A1"/>
    <w:rsid w:val="003440EC"/>
    <w:rsid w:val="00344463"/>
    <w:rsid w:val="00344621"/>
    <w:rsid w:val="0034477A"/>
    <w:rsid w:val="003447C9"/>
    <w:rsid w:val="00344F1F"/>
    <w:rsid w:val="0034501E"/>
    <w:rsid w:val="003451D2"/>
    <w:rsid w:val="003459ED"/>
    <w:rsid w:val="003459FB"/>
    <w:rsid w:val="00345C32"/>
    <w:rsid w:val="00345D49"/>
    <w:rsid w:val="00345E18"/>
    <w:rsid w:val="003463DA"/>
    <w:rsid w:val="0034644A"/>
    <w:rsid w:val="00346A22"/>
    <w:rsid w:val="00346B20"/>
    <w:rsid w:val="00346FB6"/>
    <w:rsid w:val="003470DA"/>
    <w:rsid w:val="0034715C"/>
    <w:rsid w:val="003472AE"/>
    <w:rsid w:val="00347534"/>
    <w:rsid w:val="00347D73"/>
    <w:rsid w:val="00347E51"/>
    <w:rsid w:val="00347F27"/>
    <w:rsid w:val="00347F5C"/>
    <w:rsid w:val="00350065"/>
    <w:rsid w:val="0035010D"/>
    <w:rsid w:val="003501A8"/>
    <w:rsid w:val="00350608"/>
    <w:rsid w:val="003510E7"/>
    <w:rsid w:val="0035182F"/>
    <w:rsid w:val="0035188C"/>
    <w:rsid w:val="00351C14"/>
    <w:rsid w:val="00351D01"/>
    <w:rsid w:val="003527D3"/>
    <w:rsid w:val="00352C84"/>
    <w:rsid w:val="00352E6E"/>
    <w:rsid w:val="00352FB8"/>
    <w:rsid w:val="00353782"/>
    <w:rsid w:val="0035400B"/>
    <w:rsid w:val="0035410D"/>
    <w:rsid w:val="003542CE"/>
    <w:rsid w:val="00354379"/>
    <w:rsid w:val="0035469F"/>
    <w:rsid w:val="00354950"/>
    <w:rsid w:val="003549F8"/>
    <w:rsid w:val="00354D5D"/>
    <w:rsid w:val="00355585"/>
    <w:rsid w:val="00355ACC"/>
    <w:rsid w:val="00355BD0"/>
    <w:rsid w:val="00355D82"/>
    <w:rsid w:val="00355FAC"/>
    <w:rsid w:val="003560E1"/>
    <w:rsid w:val="0035615B"/>
    <w:rsid w:val="00356179"/>
    <w:rsid w:val="003562E2"/>
    <w:rsid w:val="003563AB"/>
    <w:rsid w:val="003564C0"/>
    <w:rsid w:val="00356977"/>
    <w:rsid w:val="00356BE6"/>
    <w:rsid w:val="00356DB5"/>
    <w:rsid w:val="00356E29"/>
    <w:rsid w:val="00356F7A"/>
    <w:rsid w:val="00357261"/>
    <w:rsid w:val="00357657"/>
    <w:rsid w:val="00357788"/>
    <w:rsid w:val="00357916"/>
    <w:rsid w:val="00357A00"/>
    <w:rsid w:val="00357CCA"/>
    <w:rsid w:val="00357FEC"/>
    <w:rsid w:val="003600B4"/>
    <w:rsid w:val="00360104"/>
    <w:rsid w:val="00360953"/>
    <w:rsid w:val="00360B4F"/>
    <w:rsid w:val="00360D7C"/>
    <w:rsid w:val="003611A9"/>
    <w:rsid w:val="00361285"/>
    <w:rsid w:val="00361383"/>
    <w:rsid w:val="0036169E"/>
    <w:rsid w:val="003617F1"/>
    <w:rsid w:val="00361824"/>
    <w:rsid w:val="003618D4"/>
    <w:rsid w:val="00361900"/>
    <w:rsid w:val="0036194E"/>
    <w:rsid w:val="00361E63"/>
    <w:rsid w:val="00362539"/>
    <w:rsid w:val="00362546"/>
    <w:rsid w:val="00362647"/>
    <w:rsid w:val="00362913"/>
    <w:rsid w:val="00362A60"/>
    <w:rsid w:val="00362AF3"/>
    <w:rsid w:val="00362BF6"/>
    <w:rsid w:val="00363001"/>
    <w:rsid w:val="00363225"/>
    <w:rsid w:val="00363506"/>
    <w:rsid w:val="00363553"/>
    <w:rsid w:val="00363B6E"/>
    <w:rsid w:val="00363BB7"/>
    <w:rsid w:val="00363E39"/>
    <w:rsid w:val="00363F48"/>
    <w:rsid w:val="003646C4"/>
    <w:rsid w:val="003647CE"/>
    <w:rsid w:val="00364C3F"/>
    <w:rsid w:val="00364FFC"/>
    <w:rsid w:val="00365350"/>
    <w:rsid w:val="003653CF"/>
    <w:rsid w:val="003655F6"/>
    <w:rsid w:val="00365ADD"/>
    <w:rsid w:val="00365D2F"/>
    <w:rsid w:val="00365E53"/>
    <w:rsid w:val="00366531"/>
    <w:rsid w:val="003665AE"/>
    <w:rsid w:val="003667A7"/>
    <w:rsid w:val="003670C0"/>
    <w:rsid w:val="00367667"/>
    <w:rsid w:val="003678A4"/>
    <w:rsid w:val="003679F7"/>
    <w:rsid w:val="00367E51"/>
    <w:rsid w:val="00367E60"/>
    <w:rsid w:val="003704A4"/>
    <w:rsid w:val="003708BD"/>
    <w:rsid w:val="00370AD9"/>
    <w:rsid w:val="00370C57"/>
    <w:rsid w:val="00370E5C"/>
    <w:rsid w:val="00370F91"/>
    <w:rsid w:val="003712E2"/>
    <w:rsid w:val="00371D86"/>
    <w:rsid w:val="00371F6A"/>
    <w:rsid w:val="00372494"/>
    <w:rsid w:val="00372910"/>
    <w:rsid w:val="00372C0D"/>
    <w:rsid w:val="00372C69"/>
    <w:rsid w:val="00372C9E"/>
    <w:rsid w:val="00372EA5"/>
    <w:rsid w:val="003732EA"/>
    <w:rsid w:val="00373D98"/>
    <w:rsid w:val="00373F9D"/>
    <w:rsid w:val="00374273"/>
    <w:rsid w:val="003745AA"/>
    <w:rsid w:val="00374831"/>
    <w:rsid w:val="00374A12"/>
    <w:rsid w:val="00374A5E"/>
    <w:rsid w:val="00374F48"/>
    <w:rsid w:val="003752A8"/>
    <w:rsid w:val="003752B5"/>
    <w:rsid w:val="00375308"/>
    <w:rsid w:val="00375708"/>
    <w:rsid w:val="00375CC3"/>
    <w:rsid w:val="00375EBA"/>
    <w:rsid w:val="00375F48"/>
    <w:rsid w:val="00376053"/>
    <w:rsid w:val="003767FB"/>
    <w:rsid w:val="0037689C"/>
    <w:rsid w:val="00376A90"/>
    <w:rsid w:val="00376E3C"/>
    <w:rsid w:val="00377132"/>
    <w:rsid w:val="00377488"/>
    <w:rsid w:val="003774DF"/>
    <w:rsid w:val="003776C8"/>
    <w:rsid w:val="00377B1C"/>
    <w:rsid w:val="00377B82"/>
    <w:rsid w:val="00377C3E"/>
    <w:rsid w:val="00377D76"/>
    <w:rsid w:val="003805CE"/>
    <w:rsid w:val="0038101E"/>
    <w:rsid w:val="0038116E"/>
    <w:rsid w:val="003812A1"/>
    <w:rsid w:val="0038159B"/>
    <w:rsid w:val="0038177A"/>
    <w:rsid w:val="003819ED"/>
    <w:rsid w:val="00381A6B"/>
    <w:rsid w:val="00381C02"/>
    <w:rsid w:val="00381D52"/>
    <w:rsid w:val="003821FA"/>
    <w:rsid w:val="00382762"/>
    <w:rsid w:val="00382973"/>
    <w:rsid w:val="00382AC6"/>
    <w:rsid w:val="00382F71"/>
    <w:rsid w:val="00383069"/>
    <w:rsid w:val="003830B8"/>
    <w:rsid w:val="00383278"/>
    <w:rsid w:val="00383344"/>
    <w:rsid w:val="0038396A"/>
    <w:rsid w:val="00384269"/>
    <w:rsid w:val="0038450C"/>
    <w:rsid w:val="00384995"/>
    <w:rsid w:val="003849AE"/>
    <w:rsid w:val="00384A92"/>
    <w:rsid w:val="0038531C"/>
    <w:rsid w:val="003853A3"/>
    <w:rsid w:val="0038548C"/>
    <w:rsid w:val="00385543"/>
    <w:rsid w:val="00385E10"/>
    <w:rsid w:val="00386107"/>
    <w:rsid w:val="00386309"/>
    <w:rsid w:val="003866FC"/>
    <w:rsid w:val="00386A15"/>
    <w:rsid w:val="00386B49"/>
    <w:rsid w:val="00386DD0"/>
    <w:rsid w:val="00386E69"/>
    <w:rsid w:val="00386F13"/>
    <w:rsid w:val="0038700C"/>
    <w:rsid w:val="00387100"/>
    <w:rsid w:val="0038722D"/>
    <w:rsid w:val="003873D1"/>
    <w:rsid w:val="00387642"/>
    <w:rsid w:val="00387679"/>
    <w:rsid w:val="003877B5"/>
    <w:rsid w:val="00387CDB"/>
    <w:rsid w:val="00387D8A"/>
    <w:rsid w:val="00387EC8"/>
    <w:rsid w:val="00390148"/>
    <w:rsid w:val="00390271"/>
    <w:rsid w:val="00390496"/>
    <w:rsid w:val="0039063F"/>
    <w:rsid w:val="00390728"/>
    <w:rsid w:val="003908F7"/>
    <w:rsid w:val="003909FB"/>
    <w:rsid w:val="00390DB4"/>
    <w:rsid w:val="0039109A"/>
    <w:rsid w:val="0039114B"/>
    <w:rsid w:val="00391312"/>
    <w:rsid w:val="003913F8"/>
    <w:rsid w:val="00391AC1"/>
    <w:rsid w:val="00392401"/>
    <w:rsid w:val="0039246A"/>
    <w:rsid w:val="003925DE"/>
    <w:rsid w:val="00392D5B"/>
    <w:rsid w:val="00392D72"/>
    <w:rsid w:val="00393437"/>
    <w:rsid w:val="0039404F"/>
    <w:rsid w:val="0039412D"/>
    <w:rsid w:val="0039471F"/>
    <w:rsid w:val="00394D86"/>
    <w:rsid w:val="00395527"/>
    <w:rsid w:val="00395663"/>
    <w:rsid w:val="00395BA5"/>
    <w:rsid w:val="00395EFE"/>
    <w:rsid w:val="0039626B"/>
    <w:rsid w:val="00396AD4"/>
    <w:rsid w:val="003974D4"/>
    <w:rsid w:val="00397638"/>
    <w:rsid w:val="0039768C"/>
    <w:rsid w:val="00397706"/>
    <w:rsid w:val="00397881"/>
    <w:rsid w:val="00397DE5"/>
    <w:rsid w:val="003A0E9F"/>
    <w:rsid w:val="003A11BB"/>
    <w:rsid w:val="003A178F"/>
    <w:rsid w:val="003A1B0C"/>
    <w:rsid w:val="003A25D8"/>
    <w:rsid w:val="003A265F"/>
    <w:rsid w:val="003A29BE"/>
    <w:rsid w:val="003A2F6D"/>
    <w:rsid w:val="003A32AD"/>
    <w:rsid w:val="003A3B37"/>
    <w:rsid w:val="003A4391"/>
    <w:rsid w:val="003A44D6"/>
    <w:rsid w:val="003A46EA"/>
    <w:rsid w:val="003A48C3"/>
    <w:rsid w:val="003A48D8"/>
    <w:rsid w:val="003A4DD2"/>
    <w:rsid w:val="003A54FA"/>
    <w:rsid w:val="003A57D1"/>
    <w:rsid w:val="003A5A27"/>
    <w:rsid w:val="003A5AFA"/>
    <w:rsid w:val="003A604D"/>
    <w:rsid w:val="003A60E6"/>
    <w:rsid w:val="003A6173"/>
    <w:rsid w:val="003A65BB"/>
    <w:rsid w:val="003A66D7"/>
    <w:rsid w:val="003A6817"/>
    <w:rsid w:val="003A69FD"/>
    <w:rsid w:val="003A6A9B"/>
    <w:rsid w:val="003A6D05"/>
    <w:rsid w:val="003A6EB5"/>
    <w:rsid w:val="003A6F65"/>
    <w:rsid w:val="003A7133"/>
    <w:rsid w:val="003A7272"/>
    <w:rsid w:val="003A75F0"/>
    <w:rsid w:val="003A7731"/>
    <w:rsid w:val="003A7928"/>
    <w:rsid w:val="003A7940"/>
    <w:rsid w:val="003A7AE0"/>
    <w:rsid w:val="003A7BBA"/>
    <w:rsid w:val="003A7EAF"/>
    <w:rsid w:val="003A7ED5"/>
    <w:rsid w:val="003B018B"/>
    <w:rsid w:val="003B0794"/>
    <w:rsid w:val="003B0BF1"/>
    <w:rsid w:val="003B11B3"/>
    <w:rsid w:val="003B1314"/>
    <w:rsid w:val="003B1365"/>
    <w:rsid w:val="003B14AE"/>
    <w:rsid w:val="003B1A7B"/>
    <w:rsid w:val="003B1B25"/>
    <w:rsid w:val="003B1BDB"/>
    <w:rsid w:val="003B1ED6"/>
    <w:rsid w:val="003B22D0"/>
    <w:rsid w:val="003B25E2"/>
    <w:rsid w:val="003B27BA"/>
    <w:rsid w:val="003B2820"/>
    <w:rsid w:val="003B284D"/>
    <w:rsid w:val="003B2D40"/>
    <w:rsid w:val="003B2DD1"/>
    <w:rsid w:val="003B30A0"/>
    <w:rsid w:val="003B3C9E"/>
    <w:rsid w:val="003B414F"/>
    <w:rsid w:val="003B431D"/>
    <w:rsid w:val="003B432A"/>
    <w:rsid w:val="003B4A6B"/>
    <w:rsid w:val="003B4AAF"/>
    <w:rsid w:val="003B4ACE"/>
    <w:rsid w:val="003B5302"/>
    <w:rsid w:val="003B538A"/>
    <w:rsid w:val="003B562A"/>
    <w:rsid w:val="003B5A2F"/>
    <w:rsid w:val="003B5FC5"/>
    <w:rsid w:val="003B616C"/>
    <w:rsid w:val="003B626B"/>
    <w:rsid w:val="003B6565"/>
    <w:rsid w:val="003B6863"/>
    <w:rsid w:val="003B6903"/>
    <w:rsid w:val="003B6AC6"/>
    <w:rsid w:val="003B7116"/>
    <w:rsid w:val="003B71FF"/>
    <w:rsid w:val="003B765D"/>
    <w:rsid w:val="003B7670"/>
    <w:rsid w:val="003B77A5"/>
    <w:rsid w:val="003B7CE7"/>
    <w:rsid w:val="003B7E00"/>
    <w:rsid w:val="003B7FB0"/>
    <w:rsid w:val="003C01AB"/>
    <w:rsid w:val="003C0760"/>
    <w:rsid w:val="003C08DB"/>
    <w:rsid w:val="003C0D5F"/>
    <w:rsid w:val="003C115F"/>
    <w:rsid w:val="003C1296"/>
    <w:rsid w:val="003C172B"/>
    <w:rsid w:val="003C1C25"/>
    <w:rsid w:val="003C2297"/>
    <w:rsid w:val="003C2332"/>
    <w:rsid w:val="003C24A0"/>
    <w:rsid w:val="003C26D4"/>
    <w:rsid w:val="003C2778"/>
    <w:rsid w:val="003C28C7"/>
    <w:rsid w:val="003C30AC"/>
    <w:rsid w:val="003C32EC"/>
    <w:rsid w:val="003C3704"/>
    <w:rsid w:val="003C37FC"/>
    <w:rsid w:val="003C38A0"/>
    <w:rsid w:val="003C38BE"/>
    <w:rsid w:val="003C39BE"/>
    <w:rsid w:val="003C4496"/>
    <w:rsid w:val="003C45B1"/>
    <w:rsid w:val="003C47EC"/>
    <w:rsid w:val="003C4875"/>
    <w:rsid w:val="003C49F0"/>
    <w:rsid w:val="003C4B0B"/>
    <w:rsid w:val="003C4CA8"/>
    <w:rsid w:val="003C4DF6"/>
    <w:rsid w:val="003C5433"/>
    <w:rsid w:val="003C5734"/>
    <w:rsid w:val="003C5918"/>
    <w:rsid w:val="003C61D4"/>
    <w:rsid w:val="003C6203"/>
    <w:rsid w:val="003C6223"/>
    <w:rsid w:val="003C6288"/>
    <w:rsid w:val="003C62A7"/>
    <w:rsid w:val="003C6669"/>
    <w:rsid w:val="003C688F"/>
    <w:rsid w:val="003C6D4F"/>
    <w:rsid w:val="003C6DE0"/>
    <w:rsid w:val="003C734B"/>
    <w:rsid w:val="003C743A"/>
    <w:rsid w:val="003C79B8"/>
    <w:rsid w:val="003C7DC2"/>
    <w:rsid w:val="003C7FB8"/>
    <w:rsid w:val="003D00C4"/>
    <w:rsid w:val="003D021A"/>
    <w:rsid w:val="003D071D"/>
    <w:rsid w:val="003D07C2"/>
    <w:rsid w:val="003D0B68"/>
    <w:rsid w:val="003D0BEE"/>
    <w:rsid w:val="003D0FE6"/>
    <w:rsid w:val="003D186E"/>
    <w:rsid w:val="003D1A4C"/>
    <w:rsid w:val="003D1AF9"/>
    <w:rsid w:val="003D1E06"/>
    <w:rsid w:val="003D1E18"/>
    <w:rsid w:val="003D209B"/>
    <w:rsid w:val="003D213A"/>
    <w:rsid w:val="003D29C4"/>
    <w:rsid w:val="003D29F8"/>
    <w:rsid w:val="003D2A8C"/>
    <w:rsid w:val="003D2C81"/>
    <w:rsid w:val="003D30E4"/>
    <w:rsid w:val="003D32D5"/>
    <w:rsid w:val="003D34AA"/>
    <w:rsid w:val="003D3F4D"/>
    <w:rsid w:val="003D43E4"/>
    <w:rsid w:val="003D45BA"/>
    <w:rsid w:val="003D4FC7"/>
    <w:rsid w:val="003D5902"/>
    <w:rsid w:val="003D5A48"/>
    <w:rsid w:val="003D69B6"/>
    <w:rsid w:val="003D6D04"/>
    <w:rsid w:val="003D6DB7"/>
    <w:rsid w:val="003D6F77"/>
    <w:rsid w:val="003D7358"/>
    <w:rsid w:val="003D7574"/>
    <w:rsid w:val="003D7A9B"/>
    <w:rsid w:val="003D7C0B"/>
    <w:rsid w:val="003D7FE7"/>
    <w:rsid w:val="003E0444"/>
    <w:rsid w:val="003E0CF0"/>
    <w:rsid w:val="003E0DF8"/>
    <w:rsid w:val="003E0F00"/>
    <w:rsid w:val="003E164A"/>
    <w:rsid w:val="003E17AA"/>
    <w:rsid w:val="003E18DB"/>
    <w:rsid w:val="003E1B2D"/>
    <w:rsid w:val="003E1B44"/>
    <w:rsid w:val="003E1BF6"/>
    <w:rsid w:val="003E1D95"/>
    <w:rsid w:val="003E1D96"/>
    <w:rsid w:val="003E1F05"/>
    <w:rsid w:val="003E2BD5"/>
    <w:rsid w:val="003E2F54"/>
    <w:rsid w:val="003E2FD1"/>
    <w:rsid w:val="003E3164"/>
    <w:rsid w:val="003E31B2"/>
    <w:rsid w:val="003E3336"/>
    <w:rsid w:val="003E348B"/>
    <w:rsid w:val="003E3526"/>
    <w:rsid w:val="003E35A7"/>
    <w:rsid w:val="003E39E2"/>
    <w:rsid w:val="003E3CBD"/>
    <w:rsid w:val="003E3D43"/>
    <w:rsid w:val="003E46F8"/>
    <w:rsid w:val="003E471A"/>
    <w:rsid w:val="003E4980"/>
    <w:rsid w:val="003E49A2"/>
    <w:rsid w:val="003E4FA8"/>
    <w:rsid w:val="003E50FA"/>
    <w:rsid w:val="003E54D6"/>
    <w:rsid w:val="003E5EEA"/>
    <w:rsid w:val="003E633A"/>
    <w:rsid w:val="003E6560"/>
    <w:rsid w:val="003E722D"/>
    <w:rsid w:val="003E763F"/>
    <w:rsid w:val="003E767E"/>
    <w:rsid w:val="003E796D"/>
    <w:rsid w:val="003E7B18"/>
    <w:rsid w:val="003F041B"/>
    <w:rsid w:val="003F04E1"/>
    <w:rsid w:val="003F04E7"/>
    <w:rsid w:val="003F050E"/>
    <w:rsid w:val="003F0D13"/>
    <w:rsid w:val="003F118D"/>
    <w:rsid w:val="003F159A"/>
    <w:rsid w:val="003F1DAF"/>
    <w:rsid w:val="003F1E26"/>
    <w:rsid w:val="003F22FF"/>
    <w:rsid w:val="003F2FD0"/>
    <w:rsid w:val="003F31DB"/>
    <w:rsid w:val="003F3202"/>
    <w:rsid w:val="003F32F7"/>
    <w:rsid w:val="003F387B"/>
    <w:rsid w:val="003F38FA"/>
    <w:rsid w:val="003F407B"/>
    <w:rsid w:val="003F42F1"/>
    <w:rsid w:val="003F4354"/>
    <w:rsid w:val="003F44A1"/>
    <w:rsid w:val="003F4711"/>
    <w:rsid w:val="003F4C5C"/>
    <w:rsid w:val="003F507A"/>
    <w:rsid w:val="003F5356"/>
    <w:rsid w:val="003F540D"/>
    <w:rsid w:val="003F5864"/>
    <w:rsid w:val="003F5AC7"/>
    <w:rsid w:val="003F5DCF"/>
    <w:rsid w:val="003F610A"/>
    <w:rsid w:val="003F61E9"/>
    <w:rsid w:val="003F68CA"/>
    <w:rsid w:val="003F6DB1"/>
    <w:rsid w:val="003F6DF8"/>
    <w:rsid w:val="003F6F0B"/>
    <w:rsid w:val="003F750C"/>
    <w:rsid w:val="003F7889"/>
    <w:rsid w:val="003F7ACF"/>
    <w:rsid w:val="003F7CBA"/>
    <w:rsid w:val="003F7E17"/>
    <w:rsid w:val="004002E6"/>
    <w:rsid w:val="00400543"/>
    <w:rsid w:val="004006BD"/>
    <w:rsid w:val="004008D3"/>
    <w:rsid w:val="00400920"/>
    <w:rsid w:val="0040110C"/>
    <w:rsid w:val="00401248"/>
    <w:rsid w:val="004013C9"/>
    <w:rsid w:val="004014BA"/>
    <w:rsid w:val="004014F4"/>
    <w:rsid w:val="00401B04"/>
    <w:rsid w:val="00402036"/>
    <w:rsid w:val="00402276"/>
    <w:rsid w:val="00402414"/>
    <w:rsid w:val="004028C5"/>
    <w:rsid w:val="004028D7"/>
    <w:rsid w:val="00402A5D"/>
    <w:rsid w:val="00402EA9"/>
    <w:rsid w:val="004030D0"/>
    <w:rsid w:val="00403546"/>
    <w:rsid w:val="00403AC6"/>
    <w:rsid w:val="00403BCB"/>
    <w:rsid w:val="00403D47"/>
    <w:rsid w:val="004043A4"/>
    <w:rsid w:val="004046EA"/>
    <w:rsid w:val="0040476B"/>
    <w:rsid w:val="0040479C"/>
    <w:rsid w:val="0040499B"/>
    <w:rsid w:val="004049FB"/>
    <w:rsid w:val="00404B24"/>
    <w:rsid w:val="0040503B"/>
    <w:rsid w:val="00405453"/>
    <w:rsid w:val="0040594E"/>
    <w:rsid w:val="004059BF"/>
    <w:rsid w:val="004060E2"/>
    <w:rsid w:val="00406140"/>
    <w:rsid w:val="00406149"/>
    <w:rsid w:val="00406A35"/>
    <w:rsid w:val="00406DC0"/>
    <w:rsid w:val="00406FA3"/>
    <w:rsid w:val="00406FAC"/>
    <w:rsid w:val="00407151"/>
    <w:rsid w:val="00407223"/>
    <w:rsid w:val="00407270"/>
    <w:rsid w:val="004073E7"/>
    <w:rsid w:val="004076EF"/>
    <w:rsid w:val="00410548"/>
    <w:rsid w:val="004105A1"/>
    <w:rsid w:val="004107B7"/>
    <w:rsid w:val="00410A30"/>
    <w:rsid w:val="004112E5"/>
    <w:rsid w:val="0041155C"/>
    <w:rsid w:val="004115EC"/>
    <w:rsid w:val="00411A23"/>
    <w:rsid w:val="00411CC0"/>
    <w:rsid w:val="00411CE9"/>
    <w:rsid w:val="00412170"/>
    <w:rsid w:val="00412280"/>
    <w:rsid w:val="004123EB"/>
    <w:rsid w:val="004124E3"/>
    <w:rsid w:val="00412526"/>
    <w:rsid w:val="00412824"/>
    <w:rsid w:val="0041283C"/>
    <w:rsid w:val="00412DD7"/>
    <w:rsid w:val="004137BE"/>
    <w:rsid w:val="0041382D"/>
    <w:rsid w:val="00413B8B"/>
    <w:rsid w:val="0041469F"/>
    <w:rsid w:val="004155EC"/>
    <w:rsid w:val="00415B81"/>
    <w:rsid w:val="00415B9A"/>
    <w:rsid w:val="0041619F"/>
    <w:rsid w:val="004165CF"/>
    <w:rsid w:val="0041665E"/>
    <w:rsid w:val="004168A9"/>
    <w:rsid w:val="0041700F"/>
    <w:rsid w:val="004172BC"/>
    <w:rsid w:val="00417461"/>
    <w:rsid w:val="004174B9"/>
    <w:rsid w:val="00417550"/>
    <w:rsid w:val="004178CE"/>
    <w:rsid w:val="004178D7"/>
    <w:rsid w:val="004207CD"/>
    <w:rsid w:val="00420814"/>
    <w:rsid w:val="00420878"/>
    <w:rsid w:val="00420C46"/>
    <w:rsid w:val="00420C9A"/>
    <w:rsid w:val="00420D56"/>
    <w:rsid w:val="0042139A"/>
    <w:rsid w:val="00421450"/>
    <w:rsid w:val="00421777"/>
    <w:rsid w:val="00421D42"/>
    <w:rsid w:val="00421EA0"/>
    <w:rsid w:val="00421FD6"/>
    <w:rsid w:val="0042208C"/>
    <w:rsid w:val="004220B7"/>
    <w:rsid w:val="004221DC"/>
    <w:rsid w:val="004227BB"/>
    <w:rsid w:val="004228E3"/>
    <w:rsid w:val="00422F64"/>
    <w:rsid w:val="00423283"/>
    <w:rsid w:val="0042330E"/>
    <w:rsid w:val="00423C8D"/>
    <w:rsid w:val="00424150"/>
    <w:rsid w:val="004248D5"/>
    <w:rsid w:val="00424EF7"/>
    <w:rsid w:val="00424FBE"/>
    <w:rsid w:val="0042576A"/>
    <w:rsid w:val="00425BDD"/>
    <w:rsid w:val="00425C8C"/>
    <w:rsid w:val="004261D2"/>
    <w:rsid w:val="0042645E"/>
    <w:rsid w:val="0042671D"/>
    <w:rsid w:val="0042675A"/>
    <w:rsid w:val="004267D6"/>
    <w:rsid w:val="004267DF"/>
    <w:rsid w:val="004269A2"/>
    <w:rsid w:val="00426B01"/>
    <w:rsid w:val="00426F9E"/>
    <w:rsid w:val="004277CE"/>
    <w:rsid w:val="004278EB"/>
    <w:rsid w:val="0043036B"/>
    <w:rsid w:val="004305C6"/>
    <w:rsid w:val="00430A1F"/>
    <w:rsid w:val="00430DC4"/>
    <w:rsid w:val="00430F4F"/>
    <w:rsid w:val="004311ED"/>
    <w:rsid w:val="00431291"/>
    <w:rsid w:val="004314BD"/>
    <w:rsid w:val="00431569"/>
    <w:rsid w:val="00431CC3"/>
    <w:rsid w:val="00431D36"/>
    <w:rsid w:val="0043225C"/>
    <w:rsid w:val="00432318"/>
    <w:rsid w:val="00432843"/>
    <w:rsid w:val="004328B2"/>
    <w:rsid w:val="00432ABF"/>
    <w:rsid w:val="00432CA5"/>
    <w:rsid w:val="00433388"/>
    <w:rsid w:val="0043398E"/>
    <w:rsid w:val="004339CA"/>
    <w:rsid w:val="00433D30"/>
    <w:rsid w:val="004340D2"/>
    <w:rsid w:val="004349C5"/>
    <w:rsid w:val="00434ED1"/>
    <w:rsid w:val="00435175"/>
    <w:rsid w:val="0043606A"/>
    <w:rsid w:val="004360EA"/>
    <w:rsid w:val="004365D4"/>
    <w:rsid w:val="0043664E"/>
    <w:rsid w:val="00436A71"/>
    <w:rsid w:val="00436F17"/>
    <w:rsid w:val="0043706E"/>
    <w:rsid w:val="0043723D"/>
    <w:rsid w:val="004372A2"/>
    <w:rsid w:val="00437452"/>
    <w:rsid w:val="00437776"/>
    <w:rsid w:val="0043791F"/>
    <w:rsid w:val="00437B23"/>
    <w:rsid w:val="00437CB5"/>
    <w:rsid w:val="00437CE3"/>
    <w:rsid w:val="0044025F"/>
    <w:rsid w:val="00440430"/>
    <w:rsid w:val="00440B70"/>
    <w:rsid w:val="00440ED5"/>
    <w:rsid w:val="00441297"/>
    <w:rsid w:val="004414D9"/>
    <w:rsid w:val="00441506"/>
    <w:rsid w:val="00441C5A"/>
    <w:rsid w:val="00441DE7"/>
    <w:rsid w:val="00442566"/>
    <w:rsid w:val="00442813"/>
    <w:rsid w:val="00442DB8"/>
    <w:rsid w:val="00443299"/>
    <w:rsid w:val="004432F1"/>
    <w:rsid w:val="0044384D"/>
    <w:rsid w:val="004438BD"/>
    <w:rsid w:val="00443D1D"/>
    <w:rsid w:val="004442B0"/>
    <w:rsid w:val="00444C06"/>
    <w:rsid w:val="00444C6B"/>
    <w:rsid w:val="00444EA0"/>
    <w:rsid w:val="00445583"/>
    <w:rsid w:val="004455D6"/>
    <w:rsid w:val="00445C12"/>
    <w:rsid w:val="00446102"/>
    <w:rsid w:val="00446439"/>
    <w:rsid w:val="0044670F"/>
    <w:rsid w:val="00446837"/>
    <w:rsid w:val="00446928"/>
    <w:rsid w:val="004469F2"/>
    <w:rsid w:val="00446AE0"/>
    <w:rsid w:val="00446B11"/>
    <w:rsid w:val="00446CE2"/>
    <w:rsid w:val="00446FC8"/>
    <w:rsid w:val="0044737C"/>
    <w:rsid w:val="0044772C"/>
    <w:rsid w:val="00447788"/>
    <w:rsid w:val="00447B98"/>
    <w:rsid w:val="00447C3C"/>
    <w:rsid w:val="00450042"/>
    <w:rsid w:val="00450B36"/>
    <w:rsid w:val="00450C39"/>
    <w:rsid w:val="00450D02"/>
    <w:rsid w:val="0045147A"/>
    <w:rsid w:val="004522AB"/>
    <w:rsid w:val="0045294F"/>
    <w:rsid w:val="00453383"/>
    <w:rsid w:val="004537B0"/>
    <w:rsid w:val="00453FEA"/>
    <w:rsid w:val="00454561"/>
    <w:rsid w:val="0045474E"/>
    <w:rsid w:val="00454901"/>
    <w:rsid w:val="00454ED9"/>
    <w:rsid w:val="0045511B"/>
    <w:rsid w:val="00455122"/>
    <w:rsid w:val="004558AD"/>
    <w:rsid w:val="00455A41"/>
    <w:rsid w:val="00455D6E"/>
    <w:rsid w:val="00455D94"/>
    <w:rsid w:val="00455ED1"/>
    <w:rsid w:val="00456C75"/>
    <w:rsid w:val="00456CEB"/>
    <w:rsid w:val="00456ED3"/>
    <w:rsid w:val="00456F87"/>
    <w:rsid w:val="004571F7"/>
    <w:rsid w:val="00457323"/>
    <w:rsid w:val="004573E6"/>
    <w:rsid w:val="00457567"/>
    <w:rsid w:val="00457738"/>
    <w:rsid w:val="0045774C"/>
    <w:rsid w:val="004578FD"/>
    <w:rsid w:val="00457A47"/>
    <w:rsid w:val="00457C21"/>
    <w:rsid w:val="00457E3A"/>
    <w:rsid w:val="00460026"/>
    <w:rsid w:val="004600BB"/>
    <w:rsid w:val="00460958"/>
    <w:rsid w:val="00460BCD"/>
    <w:rsid w:val="00460C2E"/>
    <w:rsid w:val="00460D4C"/>
    <w:rsid w:val="00461772"/>
    <w:rsid w:val="004619A4"/>
    <w:rsid w:val="00461D5D"/>
    <w:rsid w:val="004629C6"/>
    <w:rsid w:val="004632DE"/>
    <w:rsid w:val="004633D1"/>
    <w:rsid w:val="004638BA"/>
    <w:rsid w:val="00463DE5"/>
    <w:rsid w:val="00463F3F"/>
    <w:rsid w:val="004640AB"/>
    <w:rsid w:val="00464820"/>
    <w:rsid w:val="00464882"/>
    <w:rsid w:val="004649B7"/>
    <w:rsid w:val="00464A2B"/>
    <w:rsid w:val="00464F2E"/>
    <w:rsid w:val="00465A28"/>
    <w:rsid w:val="004660F4"/>
    <w:rsid w:val="00467117"/>
    <w:rsid w:val="0046712C"/>
    <w:rsid w:val="0046717C"/>
    <w:rsid w:val="00467254"/>
    <w:rsid w:val="0046755F"/>
    <w:rsid w:val="004679B6"/>
    <w:rsid w:val="00467A43"/>
    <w:rsid w:val="00467D48"/>
    <w:rsid w:val="00467FD2"/>
    <w:rsid w:val="0047010B"/>
    <w:rsid w:val="00470188"/>
    <w:rsid w:val="0047027F"/>
    <w:rsid w:val="00470474"/>
    <w:rsid w:val="00470ADC"/>
    <w:rsid w:val="00470F01"/>
    <w:rsid w:val="0047110B"/>
    <w:rsid w:val="00471131"/>
    <w:rsid w:val="00471277"/>
    <w:rsid w:val="0047183B"/>
    <w:rsid w:val="00472087"/>
    <w:rsid w:val="004721D6"/>
    <w:rsid w:val="0047229A"/>
    <w:rsid w:val="0047245F"/>
    <w:rsid w:val="00472ACF"/>
    <w:rsid w:val="00472C6C"/>
    <w:rsid w:val="00472E9D"/>
    <w:rsid w:val="00473092"/>
    <w:rsid w:val="004732D4"/>
    <w:rsid w:val="0047331A"/>
    <w:rsid w:val="00473A89"/>
    <w:rsid w:val="00474297"/>
    <w:rsid w:val="004742BE"/>
    <w:rsid w:val="00474436"/>
    <w:rsid w:val="004744AC"/>
    <w:rsid w:val="0047474F"/>
    <w:rsid w:val="00474974"/>
    <w:rsid w:val="00474A1B"/>
    <w:rsid w:val="00474CD3"/>
    <w:rsid w:val="00474F57"/>
    <w:rsid w:val="00475219"/>
    <w:rsid w:val="0047550E"/>
    <w:rsid w:val="004757B6"/>
    <w:rsid w:val="00475857"/>
    <w:rsid w:val="00475AFE"/>
    <w:rsid w:val="00475B42"/>
    <w:rsid w:val="00475BA7"/>
    <w:rsid w:val="00475E9E"/>
    <w:rsid w:val="0047611B"/>
    <w:rsid w:val="004761FA"/>
    <w:rsid w:val="00476478"/>
    <w:rsid w:val="00476745"/>
    <w:rsid w:val="00476DC5"/>
    <w:rsid w:val="00476E49"/>
    <w:rsid w:val="00477011"/>
    <w:rsid w:val="004770D4"/>
    <w:rsid w:val="00477241"/>
    <w:rsid w:val="0047730C"/>
    <w:rsid w:val="00480178"/>
    <w:rsid w:val="004801E4"/>
    <w:rsid w:val="00480644"/>
    <w:rsid w:val="004806BB"/>
    <w:rsid w:val="004811EA"/>
    <w:rsid w:val="0048143F"/>
    <w:rsid w:val="004819C0"/>
    <w:rsid w:val="00481CB3"/>
    <w:rsid w:val="0048233F"/>
    <w:rsid w:val="00482C9B"/>
    <w:rsid w:val="00482D5A"/>
    <w:rsid w:val="0048312C"/>
    <w:rsid w:val="00483259"/>
    <w:rsid w:val="004833AD"/>
    <w:rsid w:val="00483776"/>
    <w:rsid w:val="0048397B"/>
    <w:rsid w:val="00483D9A"/>
    <w:rsid w:val="00483F98"/>
    <w:rsid w:val="00484013"/>
    <w:rsid w:val="00484C77"/>
    <w:rsid w:val="00485149"/>
    <w:rsid w:val="00485509"/>
    <w:rsid w:val="004855CF"/>
    <w:rsid w:val="0048562B"/>
    <w:rsid w:val="00485BBC"/>
    <w:rsid w:val="00485D35"/>
    <w:rsid w:val="00485E5F"/>
    <w:rsid w:val="00485EB5"/>
    <w:rsid w:val="00486186"/>
    <w:rsid w:val="00486361"/>
    <w:rsid w:val="004864A8"/>
    <w:rsid w:val="00486A50"/>
    <w:rsid w:val="00486C69"/>
    <w:rsid w:val="004873F9"/>
    <w:rsid w:val="004878F5"/>
    <w:rsid w:val="00487C8E"/>
    <w:rsid w:val="0049004D"/>
    <w:rsid w:val="0049017A"/>
    <w:rsid w:val="00490C30"/>
    <w:rsid w:val="00490E97"/>
    <w:rsid w:val="00491A29"/>
    <w:rsid w:val="00491BF1"/>
    <w:rsid w:val="0049207F"/>
    <w:rsid w:val="00492093"/>
    <w:rsid w:val="00492355"/>
    <w:rsid w:val="004925F5"/>
    <w:rsid w:val="004926D6"/>
    <w:rsid w:val="00492A68"/>
    <w:rsid w:val="00492AB6"/>
    <w:rsid w:val="00492BE3"/>
    <w:rsid w:val="00492E1C"/>
    <w:rsid w:val="004930C2"/>
    <w:rsid w:val="0049316B"/>
    <w:rsid w:val="004936F8"/>
    <w:rsid w:val="00493885"/>
    <w:rsid w:val="004938DF"/>
    <w:rsid w:val="00493CFA"/>
    <w:rsid w:val="00493D3E"/>
    <w:rsid w:val="00494E09"/>
    <w:rsid w:val="00494FCB"/>
    <w:rsid w:val="0049509C"/>
    <w:rsid w:val="004953BD"/>
    <w:rsid w:val="00495C5A"/>
    <w:rsid w:val="00495CB2"/>
    <w:rsid w:val="004962F6"/>
    <w:rsid w:val="0049693B"/>
    <w:rsid w:val="00496994"/>
    <w:rsid w:val="00497404"/>
    <w:rsid w:val="0049753B"/>
    <w:rsid w:val="004A02CB"/>
    <w:rsid w:val="004A062C"/>
    <w:rsid w:val="004A0725"/>
    <w:rsid w:val="004A091E"/>
    <w:rsid w:val="004A0BDE"/>
    <w:rsid w:val="004A107A"/>
    <w:rsid w:val="004A12CB"/>
    <w:rsid w:val="004A144F"/>
    <w:rsid w:val="004A1738"/>
    <w:rsid w:val="004A1893"/>
    <w:rsid w:val="004A1C7C"/>
    <w:rsid w:val="004A1F85"/>
    <w:rsid w:val="004A2264"/>
    <w:rsid w:val="004A248D"/>
    <w:rsid w:val="004A26F1"/>
    <w:rsid w:val="004A29E5"/>
    <w:rsid w:val="004A2AAB"/>
    <w:rsid w:val="004A2D55"/>
    <w:rsid w:val="004A2F1D"/>
    <w:rsid w:val="004A343A"/>
    <w:rsid w:val="004A3E01"/>
    <w:rsid w:val="004A3ECE"/>
    <w:rsid w:val="004A48B3"/>
    <w:rsid w:val="004A4BD9"/>
    <w:rsid w:val="004A4CF5"/>
    <w:rsid w:val="004A4E8B"/>
    <w:rsid w:val="004A53D9"/>
    <w:rsid w:val="004A557C"/>
    <w:rsid w:val="004A55EE"/>
    <w:rsid w:val="004A5640"/>
    <w:rsid w:val="004A56FE"/>
    <w:rsid w:val="004A583E"/>
    <w:rsid w:val="004A5972"/>
    <w:rsid w:val="004A5A06"/>
    <w:rsid w:val="004A6605"/>
    <w:rsid w:val="004A6A8E"/>
    <w:rsid w:val="004A6B01"/>
    <w:rsid w:val="004A7097"/>
    <w:rsid w:val="004A7106"/>
    <w:rsid w:val="004A76CF"/>
    <w:rsid w:val="004A77AC"/>
    <w:rsid w:val="004A7985"/>
    <w:rsid w:val="004A7ACA"/>
    <w:rsid w:val="004A7BE9"/>
    <w:rsid w:val="004B010A"/>
    <w:rsid w:val="004B054F"/>
    <w:rsid w:val="004B076D"/>
    <w:rsid w:val="004B09BD"/>
    <w:rsid w:val="004B0A2D"/>
    <w:rsid w:val="004B0BE2"/>
    <w:rsid w:val="004B0E7F"/>
    <w:rsid w:val="004B14FB"/>
    <w:rsid w:val="004B1851"/>
    <w:rsid w:val="004B1CEE"/>
    <w:rsid w:val="004B1EF2"/>
    <w:rsid w:val="004B2507"/>
    <w:rsid w:val="004B2692"/>
    <w:rsid w:val="004B288E"/>
    <w:rsid w:val="004B2A1D"/>
    <w:rsid w:val="004B3410"/>
    <w:rsid w:val="004B350D"/>
    <w:rsid w:val="004B389C"/>
    <w:rsid w:val="004B3930"/>
    <w:rsid w:val="004B3C75"/>
    <w:rsid w:val="004B3ED8"/>
    <w:rsid w:val="004B3FE2"/>
    <w:rsid w:val="004B407F"/>
    <w:rsid w:val="004B4706"/>
    <w:rsid w:val="004B476E"/>
    <w:rsid w:val="004B478E"/>
    <w:rsid w:val="004B4AF5"/>
    <w:rsid w:val="004B4CC8"/>
    <w:rsid w:val="004B50ED"/>
    <w:rsid w:val="004B54BA"/>
    <w:rsid w:val="004B5643"/>
    <w:rsid w:val="004B594F"/>
    <w:rsid w:val="004B59B8"/>
    <w:rsid w:val="004B5CC2"/>
    <w:rsid w:val="004B5DB7"/>
    <w:rsid w:val="004B5ED1"/>
    <w:rsid w:val="004B6210"/>
    <w:rsid w:val="004B66D4"/>
    <w:rsid w:val="004B6705"/>
    <w:rsid w:val="004B6A9D"/>
    <w:rsid w:val="004B715F"/>
    <w:rsid w:val="004B74C5"/>
    <w:rsid w:val="004B754F"/>
    <w:rsid w:val="004B772F"/>
    <w:rsid w:val="004B7A04"/>
    <w:rsid w:val="004B7B10"/>
    <w:rsid w:val="004B7CE1"/>
    <w:rsid w:val="004B7E26"/>
    <w:rsid w:val="004B7E8B"/>
    <w:rsid w:val="004C019F"/>
    <w:rsid w:val="004C02B7"/>
    <w:rsid w:val="004C0ACF"/>
    <w:rsid w:val="004C0BB5"/>
    <w:rsid w:val="004C1058"/>
    <w:rsid w:val="004C1362"/>
    <w:rsid w:val="004C189C"/>
    <w:rsid w:val="004C1BE9"/>
    <w:rsid w:val="004C1C3B"/>
    <w:rsid w:val="004C1D7C"/>
    <w:rsid w:val="004C2172"/>
    <w:rsid w:val="004C234A"/>
    <w:rsid w:val="004C2723"/>
    <w:rsid w:val="004C27E4"/>
    <w:rsid w:val="004C28E6"/>
    <w:rsid w:val="004C2AFF"/>
    <w:rsid w:val="004C2F91"/>
    <w:rsid w:val="004C382A"/>
    <w:rsid w:val="004C3BA7"/>
    <w:rsid w:val="004C454B"/>
    <w:rsid w:val="004C45CE"/>
    <w:rsid w:val="004C4727"/>
    <w:rsid w:val="004C47F8"/>
    <w:rsid w:val="004C480C"/>
    <w:rsid w:val="004C5152"/>
    <w:rsid w:val="004C5344"/>
    <w:rsid w:val="004C5973"/>
    <w:rsid w:val="004C5A6C"/>
    <w:rsid w:val="004C6082"/>
    <w:rsid w:val="004C636C"/>
    <w:rsid w:val="004C69C9"/>
    <w:rsid w:val="004C6EBD"/>
    <w:rsid w:val="004C6FF0"/>
    <w:rsid w:val="004C755C"/>
    <w:rsid w:val="004C7565"/>
    <w:rsid w:val="004C797F"/>
    <w:rsid w:val="004C7CE3"/>
    <w:rsid w:val="004C7CED"/>
    <w:rsid w:val="004C7D75"/>
    <w:rsid w:val="004D00EC"/>
    <w:rsid w:val="004D030B"/>
    <w:rsid w:val="004D0383"/>
    <w:rsid w:val="004D094B"/>
    <w:rsid w:val="004D098B"/>
    <w:rsid w:val="004D1713"/>
    <w:rsid w:val="004D1893"/>
    <w:rsid w:val="004D1DA5"/>
    <w:rsid w:val="004D2259"/>
    <w:rsid w:val="004D2372"/>
    <w:rsid w:val="004D2537"/>
    <w:rsid w:val="004D262F"/>
    <w:rsid w:val="004D2676"/>
    <w:rsid w:val="004D28E5"/>
    <w:rsid w:val="004D2A60"/>
    <w:rsid w:val="004D2AFD"/>
    <w:rsid w:val="004D2DF0"/>
    <w:rsid w:val="004D2F8F"/>
    <w:rsid w:val="004D3B0A"/>
    <w:rsid w:val="004D3D51"/>
    <w:rsid w:val="004D3D60"/>
    <w:rsid w:val="004D3EEE"/>
    <w:rsid w:val="004D4284"/>
    <w:rsid w:val="004D4821"/>
    <w:rsid w:val="004D49CE"/>
    <w:rsid w:val="004D4D81"/>
    <w:rsid w:val="004D5591"/>
    <w:rsid w:val="004D5AD5"/>
    <w:rsid w:val="004D5E17"/>
    <w:rsid w:val="004D5F19"/>
    <w:rsid w:val="004D6700"/>
    <w:rsid w:val="004D683B"/>
    <w:rsid w:val="004D6A42"/>
    <w:rsid w:val="004D6B38"/>
    <w:rsid w:val="004D6F92"/>
    <w:rsid w:val="004D7342"/>
    <w:rsid w:val="004D7488"/>
    <w:rsid w:val="004D7865"/>
    <w:rsid w:val="004D7DF3"/>
    <w:rsid w:val="004E09B2"/>
    <w:rsid w:val="004E0A3D"/>
    <w:rsid w:val="004E0B3B"/>
    <w:rsid w:val="004E0C9F"/>
    <w:rsid w:val="004E0F2A"/>
    <w:rsid w:val="004E100E"/>
    <w:rsid w:val="004E14FD"/>
    <w:rsid w:val="004E15FD"/>
    <w:rsid w:val="004E162C"/>
    <w:rsid w:val="004E1721"/>
    <w:rsid w:val="004E183E"/>
    <w:rsid w:val="004E1844"/>
    <w:rsid w:val="004E18D9"/>
    <w:rsid w:val="004E1CCD"/>
    <w:rsid w:val="004E1E9E"/>
    <w:rsid w:val="004E1FDA"/>
    <w:rsid w:val="004E2140"/>
    <w:rsid w:val="004E2169"/>
    <w:rsid w:val="004E245F"/>
    <w:rsid w:val="004E2737"/>
    <w:rsid w:val="004E2BC7"/>
    <w:rsid w:val="004E2D93"/>
    <w:rsid w:val="004E2DF5"/>
    <w:rsid w:val="004E308B"/>
    <w:rsid w:val="004E3215"/>
    <w:rsid w:val="004E3270"/>
    <w:rsid w:val="004E3E1E"/>
    <w:rsid w:val="004E3F87"/>
    <w:rsid w:val="004E4254"/>
    <w:rsid w:val="004E428D"/>
    <w:rsid w:val="004E4AF0"/>
    <w:rsid w:val="004E4D8F"/>
    <w:rsid w:val="004E4DC6"/>
    <w:rsid w:val="004E5AB7"/>
    <w:rsid w:val="004E5BDD"/>
    <w:rsid w:val="004E5CA7"/>
    <w:rsid w:val="004E5CC7"/>
    <w:rsid w:val="004E6196"/>
    <w:rsid w:val="004E656C"/>
    <w:rsid w:val="004E6585"/>
    <w:rsid w:val="004E65DA"/>
    <w:rsid w:val="004E65DE"/>
    <w:rsid w:val="004E683E"/>
    <w:rsid w:val="004E6E63"/>
    <w:rsid w:val="004E6F19"/>
    <w:rsid w:val="004E6F75"/>
    <w:rsid w:val="004E7358"/>
    <w:rsid w:val="004E74A8"/>
    <w:rsid w:val="004E762A"/>
    <w:rsid w:val="004E7660"/>
    <w:rsid w:val="004E7773"/>
    <w:rsid w:val="004E78F9"/>
    <w:rsid w:val="004E7C44"/>
    <w:rsid w:val="004E7CA5"/>
    <w:rsid w:val="004E7E3F"/>
    <w:rsid w:val="004F0F03"/>
    <w:rsid w:val="004F1172"/>
    <w:rsid w:val="004F160F"/>
    <w:rsid w:val="004F190D"/>
    <w:rsid w:val="004F1B8E"/>
    <w:rsid w:val="004F1F6F"/>
    <w:rsid w:val="004F21EA"/>
    <w:rsid w:val="004F2556"/>
    <w:rsid w:val="004F275C"/>
    <w:rsid w:val="004F27CD"/>
    <w:rsid w:val="004F28BA"/>
    <w:rsid w:val="004F2B5D"/>
    <w:rsid w:val="004F2E11"/>
    <w:rsid w:val="004F2F85"/>
    <w:rsid w:val="004F30C0"/>
    <w:rsid w:val="004F3253"/>
    <w:rsid w:val="004F35A6"/>
    <w:rsid w:val="004F3999"/>
    <w:rsid w:val="004F4175"/>
    <w:rsid w:val="004F417B"/>
    <w:rsid w:val="004F42C0"/>
    <w:rsid w:val="004F4A31"/>
    <w:rsid w:val="004F4EC6"/>
    <w:rsid w:val="004F50BD"/>
    <w:rsid w:val="004F56B3"/>
    <w:rsid w:val="004F5850"/>
    <w:rsid w:val="004F5D4B"/>
    <w:rsid w:val="004F5E44"/>
    <w:rsid w:val="004F5E52"/>
    <w:rsid w:val="004F6178"/>
    <w:rsid w:val="004F61CF"/>
    <w:rsid w:val="004F637F"/>
    <w:rsid w:val="004F6521"/>
    <w:rsid w:val="004F6621"/>
    <w:rsid w:val="004F6F41"/>
    <w:rsid w:val="004F6F9F"/>
    <w:rsid w:val="004F70C3"/>
    <w:rsid w:val="004F787C"/>
    <w:rsid w:val="004F7BE2"/>
    <w:rsid w:val="004F7D80"/>
    <w:rsid w:val="004F7DDD"/>
    <w:rsid w:val="004F7EBC"/>
    <w:rsid w:val="005000D1"/>
    <w:rsid w:val="0050054A"/>
    <w:rsid w:val="00500A3B"/>
    <w:rsid w:val="005010EC"/>
    <w:rsid w:val="00501306"/>
    <w:rsid w:val="00501657"/>
    <w:rsid w:val="00501AF2"/>
    <w:rsid w:val="00502072"/>
    <w:rsid w:val="00502329"/>
    <w:rsid w:val="00502504"/>
    <w:rsid w:val="005026B9"/>
    <w:rsid w:val="00502CAD"/>
    <w:rsid w:val="00502E7B"/>
    <w:rsid w:val="0050307C"/>
    <w:rsid w:val="005033DD"/>
    <w:rsid w:val="005034F3"/>
    <w:rsid w:val="0050359A"/>
    <w:rsid w:val="00503865"/>
    <w:rsid w:val="00503B1E"/>
    <w:rsid w:val="00503D40"/>
    <w:rsid w:val="00503E64"/>
    <w:rsid w:val="0050451C"/>
    <w:rsid w:val="00504ED4"/>
    <w:rsid w:val="0050525E"/>
    <w:rsid w:val="00506097"/>
    <w:rsid w:val="0050672D"/>
    <w:rsid w:val="0050672E"/>
    <w:rsid w:val="005067FC"/>
    <w:rsid w:val="00506A26"/>
    <w:rsid w:val="00506B00"/>
    <w:rsid w:val="00506CC2"/>
    <w:rsid w:val="00506FA4"/>
    <w:rsid w:val="0050724F"/>
    <w:rsid w:val="005073AC"/>
    <w:rsid w:val="005074C9"/>
    <w:rsid w:val="00507884"/>
    <w:rsid w:val="00507C52"/>
    <w:rsid w:val="0051028F"/>
    <w:rsid w:val="0051083A"/>
    <w:rsid w:val="0051093F"/>
    <w:rsid w:val="00510B37"/>
    <w:rsid w:val="00510C66"/>
    <w:rsid w:val="00510DDE"/>
    <w:rsid w:val="00510E42"/>
    <w:rsid w:val="00510E71"/>
    <w:rsid w:val="00510F59"/>
    <w:rsid w:val="0051160F"/>
    <w:rsid w:val="00511A49"/>
    <w:rsid w:val="00511A80"/>
    <w:rsid w:val="00511CCD"/>
    <w:rsid w:val="00512B91"/>
    <w:rsid w:val="00512C5C"/>
    <w:rsid w:val="005130E4"/>
    <w:rsid w:val="0051347A"/>
    <w:rsid w:val="005136F9"/>
    <w:rsid w:val="005137DD"/>
    <w:rsid w:val="00513C76"/>
    <w:rsid w:val="0051403B"/>
    <w:rsid w:val="00514240"/>
    <w:rsid w:val="005143E8"/>
    <w:rsid w:val="00514417"/>
    <w:rsid w:val="0051455B"/>
    <w:rsid w:val="00514D05"/>
    <w:rsid w:val="00515048"/>
    <w:rsid w:val="00515224"/>
    <w:rsid w:val="0051559E"/>
    <w:rsid w:val="00515748"/>
    <w:rsid w:val="00515822"/>
    <w:rsid w:val="00515A36"/>
    <w:rsid w:val="00515F3F"/>
    <w:rsid w:val="00515FD6"/>
    <w:rsid w:val="0051675B"/>
    <w:rsid w:val="005167B9"/>
    <w:rsid w:val="005169C7"/>
    <w:rsid w:val="00516C75"/>
    <w:rsid w:val="00516F16"/>
    <w:rsid w:val="00517101"/>
    <w:rsid w:val="00517467"/>
    <w:rsid w:val="00517531"/>
    <w:rsid w:val="00517823"/>
    <w:rsid w:val="005179C4"/>
    <w:rsid w:val="00517DCE"/>
    <w:rsid w:val="00517FAF"/>
    <w:rsid w:val="005204E4"/>
    <w:rsid w:val="00520551"/>
    <w:rsid w:val="00520959"/>
    <w:rsid w:val="00520EE9"/>
    <w:rsid w:val="00520FCD"/>
    <w:rsid w:val="00521010"/>
    <w:rsid w:val="0052101F"/>
    <w:rsid w:val="00521168"/>
    <w:rsid w:val="0052171C"/>
    <w:rsid w:val="00521A31"/>
    <w:rsid w:val="00521E85"/>
    <w:rsid w:val="0052201E"/>
    <w:rsid w:val="00522100"/>
    <w:rsid w:val="00522425"/>
    <w:rsid w:val="00522949"/>
    <w:rsid w:val="005231F4"/>
    <w:rsid w:val="00523918"/>
    <w:rsid w:val="0052454B"/>
    <w:rsid w:val="005245DB"/>
    <w:rsid w:val="00524B8D"/>
    <w:rsid w:val="005250B2"/>
    <w:rsid w:val="005252BA"/>
    <w:rsid w:val="00525452"/>
    <w:rsid w:val="005256B0"/>
    <w:rsid w:val="00525B5B"/>
    <w:rsid w:val="00525D99"/>
    <w:rsid w:val="00526258"/>
    <w:rsid w:val="0052645C"/>
    <w:rsid w:val="00526A83"/>
    <w:rsid w:val="00527120"/>
    <w:rsid w:val="0052719B"/>
    <w:rsid w:val="00527296"/>
    <w:rsid w:val="00527588"/>
    <w:rsid w:val="005275FF"/>
    <w:rsid w:val="0053037E"/>
    <w:rsid w:val="005304FD"/>
    <w:rsid w:val="00530AA6"/>
    <w:rsid w:val="00530ABC"/>
    <w:rsid w:val="00531334"/>
    <w:rsid w:val="0053133E"/>
    <w:rsid w:val="005313BD"/>
    <w:rsid w:val="005313CE"/>
    <w:rsid w:val="0053144F"/>
    <w:rsid w:val="005315E6"/>
    <w:rsid w:val="00531686"/>
    <w:rsid w:val="005317A5"/>
    <w:rsid w:val="00531CCE"/>
    <w:rsid w:val="00531ECF"/>
    <w:rsid w:val="005324C3"/>
    <w:rsid w:val="005325BB"/>
    <w:rsid w:val="00532771"/>
    <w:rsid w:val="0053291A"/>
    <w:rsid w:val="00532A44"/>
    <w:rsid w:val="00532C7F"/>
    <w:rsid w:val="005333B5"/>
    <w:rsid w:val="0053342C"/>
    <w:rsid w:val="005337E9"/>
    <w:rsid w:val="00533B59"/>
    <w:rsid w:val="00533D16"/>
    <w:rsid w:val="00534253"/>
    <w:rsid w:val="0053485D"/>
    <w:rsid w:val="005349BC"/>
    <w:rsid w:val="00534D0A"/>
    <w:rsid w:val="00534DB0"/>
    <w:rsid w:val="00534FE0"/>
    <w:rsid w:val="005354B7"/>
    <w:rsid w:val="00535687"/>
    <w:rsid w:val="00535C55"/>
    <w:rsid w:val="00535EFE"/>
    <w:rsid w:val="005360E4"/>
    <w:rsid w:val="005360F1"/>
    <w:rsid w:val="00536121"/>
    <w:rsid w:val="00536787"/>
    <w:rsid w:val="00536BCA"/>
    <w:rsid w:val="00536CEA"/>
    <w:rsid w:val="00536D19"/>
    <w:rsid w:val="005376A8"/>
    <w:rsid w:val="00537916"/>
    <w:rsid w:val="005379C4"/>
    <w:rsid w:val="00540198"/>
    <w:rsid w:val="00540318"/>
    <w:rsid w:val="00540AA0"/>
    <w:rsid w:val="00540BC6"/>
    <w:rsid w:val="005410E9"/>
    <w:rsid w:val="00541193"/>
    <w:rsid w:val="0054186A"/>
    <w:rsid w:val="00541967"/>
    <w:rsid w:val="00542215"/>
    <w:rsid w:val="005426D8"/>
    <w:rsid w:val="0054271D"/>
    <w:rsid w:val="00542C42"/>
    <w:rsid w:val="00542CA1"/>
    <w:rsid w:val="00542CD2"/>
    <w:rsid w:val="00543730"/>
    <w:rsid w:val="00543DFB"/>
    <w:rsid w:val="0054443D"/>
    <w:rsid w:val="00544454"/>
    <w:rsid w:val="005444C6"/>
    <w:rsid w:val="0054452A"/>
    <w:rsid w:val="00544925"/>
    <w:rsid w:val="00544E22"/>
    <w:rsid w:val="00545083"/>
    <w:rsid w:val="005451E4"/>
    <w:rsid w:val="005456C3"/>
    <w:rsid w:val="005457CB"/>
    <w:rsid w:val="00545838"/>
    <w:rsid w:val="00545962"/>
    <w:rsid w:val="005459B4"/>
    <w:rsid w:val="00545FD9"/>
    <w:rsid w:val="005462CC"/>
    <w:rsid w:val="00546389"/>
    <w:rsid w:val="00546B5A"/>
    <w:rsid w:val="00546DDA"/>
    <w:rsid w:val="00546E30"/>
    <w:rsid w:val="00547060"/>
    <w:rsid w:val="00547107"/>
    <w:rsid w:val="005477C5"/>
    <w:rsid w:val="00547DA5"/>
    <w:rsid w:val="0055004D"/>
    <w:rsid w:val="005500FB"/>
    <w:rsid w:val="00550759"/>
    <w:rsid w:val="005507F3"/>
    <w:rsid w:val="00550C4D"/>
    <w:rsid w:val="00550F1D"/>
    <w:rsid w:val="00551095"/>
    <w:rsid w:val="00551475"/>
    <w:rsid w:val="005514F1"/>
    <w:rsid w:val="00551B66"/>
    <w:rsid w:val="00551BA1"/>
    <w:rsid w:val="00551CAB"/>
    <w:rsid w:val="00551E62"/>
    <w:rsid w:val="00551F8C"/>
    <w:rsid w:val="00551FA2"/>
    <w:rsid w:val="00551FC9"/>
    <w:rsid w:val="00552899"/>
    <w:rsid w:val="00552A6E"/>
    <w:rsid w:val="00552AE3"/>
    <w:rsid w:val="00552B6F"/>
    <w:rsid w:val="00552C2B"/>
    <w:rsid w:val="00552C7B"/>
    <w:rsid w:val="00552C8D"/>
    <w:rsid w:val="0055320E"/>
    <w:rsid w:val="0055338B"/>
    <w:rsid w:val="00553DD8"/>
    <w:rsid w:val="00554086"/>
    <w:rsid w:val="0055414B"/>
    <w:rsid w:val="005541C5"/>
    <w:rsid w:val="005543E3"/>
    <w:rsid w:val="005549D6"/>
    <w:rsid w:val="00554BB4"/>
    <w:rsid w:val="00554C89"/>
    <w:rsid w:val="00554E05"/>
    <w:rsid w:val="00554E07"/>
    <w:rsid w:val="005551A2"/>
    <w:rsid w:val="0055526D"/>
    <w:rsid w:val="00555412"/>
    <w:rsid w:val="00556060"/>
    <w:rsid w:val="00556134"/>
    <w:rsid w:val="005563C2"/>
    <w:rsid w:val="005564C6"/>
    <w:rsid w:val="005564ED"/>
    <w:rsid w:val="00556828"/>
    <w:rsid w:val="00556B68"/>
    <w:rsid w:val="0055743B"/>
    <w:rsid w:val="0055754B"/>
    <w:rsid w:val="00557A2F"/>
    <w:rsid w:val="00557C44"/>
    <w:rsid w:val="0056007B"/>
    <w:rsid w:val="005600AD"/>
    <w:rsid w:val="005602DF"/>
    <w:rsid w:val="00560D72"/>
    <w:rsid w:val="00560DD6"/>
    <w:rsid w:val="00560DF2"/>
    <w:rsid w:val="00560EC6"/>
    <w:rsid w:val="00560EF4"/>
    <w:rsid w:val="00560F41"/>
    <w:rsid w:val="005611EA"/>
    <w:rsid w:val="00561855"/>
    <w:rsid w:val="005618C9"/>
    <w:rsid w:val="00561D84"/>
    <w:rsid w:val="00561E6A"/>
    <w:rsid w:val="00562277"/>
    <w:rsid w:val="005624C2"/>
    <w:rsid w:val="00562A3C"/>
    <w:rsid w:val="00562CED"/>
    <w:rsid w:val="0056316F"/>
    <w:rsid w:val="005631EB"/>
    <w:rsid w:val="005637D4"/>
    <w:rsid w:val="00563861"/>
    <w:rsid w:val="00563980"/>
    <w:rsid w:val="00563A5E"/>
    <w:rsid w:val="00563CD4"/>
    <w:rsid w:val="005642DC"/>
    <w:rsid w:val="005648E4"/>
    <w:rsid w:val="00564D28"/>
    <w:rsid w:val="00565361"/>
    <w:rsid w:val="00565848"/>
    <w:rsid w:val="00565A15"/>
    <w:rsid w:val="00565E58"/>
    <w:rsid w:val="00565EAC"/>
    <w:rsid w:val="0056638B"/>
    <w:rsid w:val="00566546"/>
    <w:rsid w:val="00566C08"/>
    <w:rsid w:val="00566FD4"/>
    <w:rsid w:val="005672B1"/>
    <w:rsid w:val="00567A33"/>
    <w:rsid w:val="00567ED8"/>
    <w:rsid w:val="005705C3"/>
    <w:rsid w:val="005707C4"/>
    <w:rsid w:val="005709F4"/>
    <w:rsid w:val="00570F0F"/>
    <w:rsid w:val="005712E4"/>
    <w:rsid w:val="0057166A"/>
    <w:rsid w:val="0057183B"/>
    <w:rsid w:val="005718EA"/>
    <w:rsid w:val="00571DD5"/>
    <w:rsid w:val="00572065"/>
    <w:rsid w:val="0057217B"/>
    <w:rsid w:val="0057243F"/>
    <w:rsid w:val="0057323D"/>
    <w:rsid w:val="005733D7"/>
    <w:rsid w:val="00573409"/>
    <w:rsid w:val="005734BE"/>
    <w:rsid w:val="005736A3"/>
    <w:rsid w:val="005737BC"/>
    <w:rsid w:val="00573D54"/>
    <w:rsid w:val="005740C7"/>
    <w:rsid w:val="0057437B"/>
    <w:rsid w:val="00574464"/>
    <w:rsid w:val="005745EA"/>
    <w:rsid w:val="0057498A"/>
    <w:rsid w:val="00574A43"/>
    <w:rsid w:val="00574D93"/>
    <w:rsid w:val="00575218"/>
    <w:rsid w:val="00575282"/>
    <w:rsid w:val="0057529A"/>
    <w:rsid w:val="005754C0"/>
    <w:rsid w:val="00575528"/>
    <w:rsid w:val="00575826"/>
    <w:rsid w:val="00575960"/>
    <w:rsid w:val="00575B50"/>
    <w:rsid w:val="00575FDB"/>
    <w:rsid w:val="00576A6F"/>
    <w:rsid w:val="00576AA1"/>
    <w:rsid w:val="00576C9F"/>
    <w:rsid w:val="00576F48"/>
    <w:rsid w:val="005773B1"/>
    <w:rsid w:val="00577AD3"/>
    <w:rsid w:val="00577C06"/>
    <w:rsid w:val="00577C71"/>
    <w:rsid w:val="005801FC"/>
    <w:rsid w:val="00580760"/>
    <w:rsid w:val="00580A5D"/>
    <w:rsid w:val="00580ADB"/>
    <w:rsid w:val="00580B22"/>
    <w:rsid w:val="00580DAD"/>
    <w:rsid w:val="0058138F"/>
    <w:rsid w:val="005814CE"/>
    <w:rsid w:val="005817F9"/>
    <w:rsid w:val="0058197F"/>
    <w:rsid w:val="00581D7F"/>
    <w:rsid w:val="00582098"/>
    <w:rsid w:val="00582328"/>
    <w:rsid w:val="005827C8"/>
    <w:rsid w:val="00582B62"/>
    <w:rsid w:val="00582EE2"/>
    <w:rsid w:val="00582F33"/>
    <w:rsid w:val="00582FC7"/>
    <w:rsid w:val="005831D0"/>
    <w:rsid w:val="0058335C"/>
    <w:rsid w:val="005834CA"/>
    <w:rsid w:val="00583B61"/>
    <w:rsid w:val="00583C45"/>
    <w:rsid w:val="00583CA8"/>
    <w:rsid w:val="00583CB9"/>
    <w:rsid w:val="00583EB8"/>
    <w:rsid w:val="00583FAB"/>
    <w:rsid w:val="00584014"/>
    <w:rsid w:val="00584371"/>
    <w:rsid w:val="00584497"/>
    <w:rsid w:val="00584698"/>
    <w:rsid w:val="005846FB"/>
    <w:rsid w:val="0058484C"/>
    <w:rsid w:val="005848AE"/>
    <w:rsid w:val="00584B8E"/>
    <w:rsid w:val="00584E24"/>
    <w:rsid w:val="00584E93"/>
    <w:rsid w:val="00585132"/>
    <w:rsid w:val="005852BD"/>
    <w:rsid w:val="005855E4"/>
    <w:rsid w:val="0058578A"/>
    <w:rsid w:val="00585819"/>
    <w:rsid w:val="00585AF6"/>
    <w:rsid w:val="00585F07"/>
    <w:rsid w:val="00585F0B"/>
    <w:rsid w:val="005864B1"/>
    <w:rsid w:val="00586520"/>
    <w:rsid w:val="005865D5"/>
    <w:rsid w:val="00586680"/>
    <w:rsid w:val="005866BC"/>
    <w:rsid w:val="0058691A"/>
    <w:rsid w:val="00586921"/>
    <w:rsid w:val="00586B0F"/>
    <w:rsid w:val="00586F8E"/>
    <w:rsid w:val="005870D2"/>
    <w:rsid w:val="00587162"/>
    <w:rsid w:val="00587490"/>
    <w:rsid w:val="005876FE"/>
    <w:rsid w:val="00587AD6"/>
    <w:rsid w:val="00587FD1"/>
    <w:rsid w:val="005901A1"/>
    <w:rsid w:val="0059109A"/>
    <w:rsid w:val="00591359"/>
    <w:rsid w:val="005916BD"/>
    <w:rsid w:val="005919D0"/>
    <w:rsid w:val="00591A77"/>
    <w:rsid w:val="00592476"/>
    <w:rsid w:val="0059261E"/>
    <w:rsid w:val="005926AC"/>
    <w:rsid w:val="00592968"/>
    <w:rsid w:val="005929A1"/>
    <w:rsid w:val="00592B1A"/>
    <w:rsid w:val="00592D01"/>
    <w:rsid w:val="005931C6"/>
    <w:rsid w:val="00593755"/>
    <w:rsid w:val="005937AC"/>
    <w:rsid w:val="00593855"/>
    <w:rsid w:val="00593BAB"/>
    <w:rsid w:val="00594436"/>
    <w:rsid w:val="00594559"/>
    <w:rsid w:val="0059474B"/>
    <w:rsid w:val="005955DA"/>
    <w:rsid w:val="005957DB"/>
    <w:rsid w:val="00595848"/>
    <w:rsid w:val="00595B9D"/>
    <w:rsid w:val="00595DFA"/>
    <w:rsid w:val="005962A2"/>
    <w:rsid w:val="005963B5"/>
    <w:rsid w:val="00596417"/>
    <w:rsid w:val="00596B4B"/>
    <w:rsid w:val="00596F4A"/>
    <w:rsid w:val="0059753C"/>
    <w:rsid w:val="0059786F"/>
    <w:rsid w:val="00597E88"/>
    <w:rsid w:val="005A0101"/>
    <w:rsid w:val="005A047D"/>
    <w:rsid w:val="005A055F"/>
    <w:rsid w:val="005A074A"/>
    <w:rsid w:val="005A0AD1"/>
    <w:rsid w:val="005A0B3E"/>
    <w:rsid w:val="005A1135"/>
    <w:rsid w:val="005A15FC"/>
    <w:rsid w:val="005A17D6"/>
    <w:rsid w:val="005A18EA"/>
    <w:rsid w:val="005A1B83"/>
    <w:rsid w:val="005A1BDE"/>
    <w:rsid w:val="005A1C16"/>
    <w:rsid w:val="005A1EF8"/>
    <w:rsid w:val="005A250E"/>
    <w:rsid w:val="005A26F4"/>
    <w:rsid w:val="005A2A05"/>
    <w:rsid w:val="005A2E03"/>
    <w:rsid w:val="005A2E3C"/>
    <w:rsid w:val="005A2E4C"/>
    <w:rsid w:val="005A3000"/>
    <w:rsid w:val="005A3056"/>
    <w:rsid w:val="005A32A9"/>
    <w:rsid w:val="005A33EC"/>
    <w:rsid w:val="005A36BD"/>
    <w:rsid w:val="005A3B32"/>
    <w:rsid w:val="005A3FED"/>
    <w:rsid w:val="005A4071"/>
    <w:rsid w:val="005A47A9"/>
    <w:rsid w:val="005A4825"/>
    <w:rsid w:val="005A4C0D"/>
    <w:rsid w:val="005A514B"/>
    <w:rsid w:val="005A515B"/>
    <w:rsid w:val="005A5D57"/>
    <w:rsid w:val="005A5FAB"/>
    <w:rsid w:val="005A63A4"/>
    <w:rsid w:val="005A641D"/>
    <w:rsid w:val="005A652F"/>
    <w:rsid w:val="005A660F"/>
    <w:rsid w:val="005A6906"/>
    <w:rsid w:val="005A696F"/>
    <w:rsid w:val="005A69A2"/>
    <w:rsid w:val="005A6C99"/>
    <w:rsid w:val="005A6E57"/>
    <w:rsid w:val="005A7720"/>
    <w:rsid w:val="005A7E51"/>
    <w:rsid w:val="005B00C1"/>
    <w:rsid w:val="005B01A3"/>
    <w:rsid w:val="005B023C"/>
    <w:rsid w:val="005B028E"/>
    <w:rsid w:val="005B07B4"/>
    <w:rsid w:val="005B086A"/>
    <w:rsid w:val="005B0980"/>
    <w:rsid w:val="005B0A16"/>
    <w:rsid w:val="005B0AFA"/>
    <w:rsid w:val="005B0F08"/>
    <w:rsid w:val="005B16DE"/>
    <w:rsid w:val="005B16FA"/>
    <w:rsid w:val="005B17BD"/>
    <w:rsid w:val="005B1995"/>
    <w:rsid w:val="005B1B17"/>
    <w:rsid w:val="005B1B47"/>
    <w:rsid w:val="005B1FD3"/>
    <w:rsid w:val="005B23BB"/>
    <w:rsid w:val="005B23D9"/>
    <w:rsid w:val="005B2782"/>
    <w:rsid w:val="005B2918"/>
    <w:rsid w:val="005B2BB2"/>
    <w:rsid w:val="005B3404"/>
    <w:rsid w:val="005B3B03"/>
    <w:rsid w:val="005B3BD0"/>
    <w:rsid w:val="005B4096"/>
    <w:rsid w:val="005B40E2"/>
    <w:rsid w:val="005B4163"/>
    <w:rsid w:val="005B48AF"/>
    <w:rsid w:val="005B53B2"/>
    <w:rsid w:val="005B56E2"/>
    <w:rsid w:val="005B5860"/>
    <w:rsid w:val="005B5A47"/>
    <w:rsid w:val="005B5A4E"/>
    <w:rsid w:val="005B5A59"/>
    <w:rsid w:val="005B5EE8"/>
    <w:rsid w:val="005B68EB"/>
    <w:rsid w:val="005B6F5D"/>
    <w:rsid w:val="005B702C"/>
    <w:rsid w:val="005B74B2"/>
    <w:rsid w:val="005B7543"/>
    <w:rsid w:val="005B757C"/>
    <w:rsid w:val="005B7AFD"/>
    <w:rsid w:val="005B7FE3"/>
    <w:rsid w:val="005C04E8"/>
    <w:rsid w:val="005C07B1"/>
    <w:rsid w:val="005C07C2"/>
    <w:rsid w:val="005C0897"/>
    <w:rsid w:val="005C08FA"/>
    <w:rsid w:val="005C091F"/>
    <w:rsid w:val="005C0A57"/>
    <w:rsid w:val="005C0D5B"/>
    <w:rsid w:val="005C15F1"/>
    <w:rsid w:val="005C1603"/>
    <w:rsid w:val="005C1641"/>
    <w:rsid w:val="005C1672"/>
    <w:rsid w:val="005C1D15"/>
    <w:rsid w:val="005C1D56"/>
    <w:rsid w:val="005C1EA4"/>
    <w:rsid w:val="005C20DD"/>
    <w:rsid w:val="005C21A1"/>
    <w:rsid w:val="005C241E"/>
    <w:rsid w:val="005C3008"/>
    <w:rsid w:val="005C3059"/>
    <w:rsid w:val="005C35E8"/>
    <w:rsid w:val="005C4095"/>
    <w:rsid w:val="005C42F3"/>
    <w:rsid w:val="005C4363"/>
    <w:rsid w:val="005C4AF4"/>
    <w:rsid w:val="005C50D8"/>
    <w:rsid w:val="005C5215"/>
    <w:rsid w:val="005C54FC"/>
    <w:rsid w:val="005C554D"/>
    <w:rsid w:val="005C5912"/>
    <w:rsid w:val="005C5FAE"/>
    <w:rsid w:val="005C6509"/>
    <w:rsid w:val="005C66ED"/>
    <w:rsid w:val="005C6747"/>
    <w:rsid w:val="005C67B5"/>
    <w:rsid w:val="005C681E"/>
    <w:rsid w:val="005C6978"/>
    <w:rsid w:val="005C6A13"/>
    <w:rsid w:val="005C6FBA"/>
    <w:rsid w:val="005C6FF4"/>
    <w:rsid w:val="005C70FB"/>
    <w:rsid w:val="005C7112"/>
    <w:rsid w:val="005C72C0"/>
    <w:rsid w:val="005C7694"/>
    <w:rsid w:val="005C7764"/>
    <w:rsid w:val="005C785F"/>
    <w:rsid w:val="005C78DA"/>
    <w:rsid w:val="005C7A49"/>
    <w:rsid w:val="005C7B15"/>
    <w:rsid w:val="005C7E03"/>
    <w:rsid w:val="005C7EA9"/>
    <w:rsid w:val="005D00AF"/>
    <w:rsid w:val="005D0563"/>
    <w:rsid w:val="005D0650"/>
    <w:rsid w:val="005D0CDB"/>
    <w:rsid w:val="005D0DDC"/>
    <w:rsid w:val="005D1203"/>
    <w:rsid w:val="005D133F"/>
    <w:rsid w:val="005D1398"/>
    <w:rsid w:val="005D15B4"/>
    <w:rsid w:val="005D185B"/>
    <w:rsid w:val="005D18A3"/>
    <w:rsid w:val="005D1923"/>
    <w:rsid w:val="005D193B"/>
    <w:rsid w:val="005D1956"/>
    <w:rsid w:val="005D1EFE"/>
    <w:rsid w:val="005D2EC0"/>
    <w:rsid w:val="005D367D"/>
    <w:rsid w:val="005D3B68"/>
    <w:rsid w:val="005D3BE9"/>
    <w:rsid w:val="005D3D6B"/>
    <w:rsid w:val="005D4043"/>
    <w:rsid w:val="005D448B"/>
    <w:rsid w:val="005D4A12"/>
    <w:rsid w:val="005D4A27"/>
    <w:rsid w:val="005D527A"/>
    <w:rsid w:val="005D534F"/>
    <w:rsid w:val="005D5D02"/>
    <w:rsid w:val="005D5DA9"/>
    <w:rsid w:val="005D6335"/>
    <w:rsid w:val="005D64D7"/>
    <w:rsid w:val="005D65BD"/>
    <w:rsid w:val="005D66BA"/>
    <w:rsid w:val="005D6769"/>
    <w:rsid w:val="005D69F8"/>
    <w:rsid w:val="005D6EFF"/>
    <w:rsid w:val="005D760C"/>
    <w:rsid w:val="005D76AF"/>
    <w:rsid w:val="005D76B5"/>
    <w:rsid w:val="005D7825"/>
    <w:rsid w:val="005D79F0"/>
    <w:rsid w:val="005E02EF"/>
    <w:rsid w:val="005E0A4C"/>
    <w:rsid w:val="005E0B43"/>
    <w:rsid w:val="005E0D34"/>
    <w:rsid w:val="005E0E2C"/>
    <w:rsid w:val="005E10BA"/>
    <w:rsid w:val="005E1275"/>
    <w:rsid w:val="005E1352"/>
    <w:rsid w:val="005E160E"/>
    <w:rsid w:val="005E197A"/>
    <w:rsid w:val="005E1CEC"/>
    <w:rsid w:val="005E235B"/>
    <w:rsid w:val="005E24A0"/>
    <w:rsid w:val="005E250A"/>
    <w:rsid w:val="005E269E"/>
    <w:rsid w:val="005E2702"/>
    <w:rsid w:val="005E2999"/>
    <w:rsid w:val="005E2B09"/>
    <w:rsid w:val="005E3033"/>
    <w:rsid w:val="005E336F"/>
    <w:rsid w:val="005E3619"/>
    <w:rsid w:val="005E36CE"/>
    <w:rsid w:val="005E3A3E"/>
    <w:rsid w:val="005E3BAC"/>
    <w:rsid w:val="005E3BEB"/>
    <w:rsid w:val="005E3C61"/>
    <w:rsid w:val="005E3F65"/>
    <w:rsid w:val="005E3FBC"/>
    <w:rsid w:val="005E44EB"/>
    <w:rsid w:val="005E4613"/>
    <w:rsid w:val="005E49A2"/>
    <w:rsid w:val="005E4A69"/>
    <w:rsid w:val="005E5282"/>
    <w:rsid w:val="005E54BA"/>
    <w:rsid w:val="005E565D"/>
    <w:rsid w:val="005E58E5"/>
    <w:rsid w:val="005E5CBD"/>
    <w:rsid w:val="005E5E61"/>
    <w:rsid w:val="005E6665"/>
    <w:rsid w:val="005E6AC4"/>
    <w:rsid w:val="005E7283"/>
    <w:rsid w:val="005E75E5"/>
    <w:rsid w:val="005E7798"/>
    <w:rsid w:val="005E7B46"/>
    <w:rsid w:val="005E7F93"/>
    <w:rsid w:val="005F09EB"/>
    <w:rsid w:val="005F0C18"/>
    <w:rsid w:val="005F0CFF"/>
    <w:rsid w:val="005F0D50"/>
    <w:rsid w:val="005F134E"/>
    <w:rsid w:val="005F14D5"/>
    <w:rsid w:val="005F197E"/>
    <w:rsid w:val="005F1ABC"/>
    <w:rsid w:val="005F2283"/>
    <w:rsid w:val="005F2355"/>
    <w:rsid w:val="005F2521"/>
    <w:rsid w:val="005F2800"/>
    <w:rsid w:val="005F2828"/>
    <w:rsid w:val="005F286E"/>
    <w:rsid w:val="005F3109"/>
    <w:rsid w:val="005F3156"/>
    <w:rsid w:val="005F37AA"/>
    <w:rsid w:val="005F3A16"/>
    <w:rsid w:val="005F3AD7"/>
    <w:rsid w:val="005F3B56"/>
    <w:rsid w:val="005F41BF"/>
    <w:rsid w:val="005F46AC"/>
    <w:rsid w:val="005F4957"/>
    <w:rsid w:val="005F49A8"/>
    <w:rsid w:val="005F4FB1"/>
    <w:rsid w:val="005F5291"/>
    <w:rsid w:val="005F5362"/>
    <w:rsid w:val="005F562E"/>
    <w:rsid w:val="005F5D11"/>
    <w:rsid w:val="005F5DC6"/>
    <w:rsid w:val="005F60AB"/>
    <w:rsid w:val="005F6105"/>
    <w:rsid w:val="005F6506"/>
    <w:rsid w:val="005F6541"/>
    <w:rsid w:val="005F6EF6"/>
    <w:rsid w:val="005F7020"/>
    <w:rsid w:val="005F74A1"/>
    <w:rsid w:val="005F7556"/>
    <w:rsid w:val="005F7744"/>
    <w:rsid w:val="005F7B38"/>
    <w:rsid w:val="005F7B60"/>
    <w:rsid w:val="005F7FE1"/>
    <w:rsid w:val="0060029F"/>
    <w:rsid w:val="00600390"/>
    <w:rsid w:val="00600C35"/>
    <w:rsid w:val="006010C8"/>
    <w:rsid w:val="00601207"/>
    <w:rsid w:val="006018CA"/>
    <w:rsid w:val="00601927"/>
    <w:rsid w:val="00601C2B"/>
    <w:rsid w:val="00601EF5"/>
    <w:rsid w:val="00602052"/>
    <w:rsid w:val="00602755"/>
    <w:rsid w:val="006030E9"/>
    <w:rsid w:val="00603310"/>
    <w:rsid w:val="00603788"/>
    <w:rsid w:val="006037E9"/>
    <w:rsid w:val="00603AA9"/>
    <w:rsid w:val="00604067"/>
    <w:rsid w:val="006040E1"/>
    <w:rsid w:val="006046C0"/>
    <w:rsid w:val="00604DDC"/>
    <w:rsid w:val="00605073"/>
    <w:rsid w:val="00605A61"/>
    <w:rsid w:val="00605B1C"/>
    <w:rsid w:val="00605E8C"/>
    <w:rsid w:val="00605F5E"/>
    <w:rsid w:val="00606133"/>
    <w:rsid w:val="006061DB"/>
    <w:rsid w:val="00606468"/>
    <w:rsid w:val="006064D9"/>
    <w:rsid w:val="0060670D"/>
    <w:rsid w:val="00606A4F"/>
    <w:rsid w:val="00606B7B"/>
    <w:rsid w:val="00606DF1"/>
    <w:rsid w:val="00606EA4"/>
    <w:rsid w:val="006070AD"/>
    <w:rsid w:val="00607932"/>
    <w:rsid w:val="00607B7E"/>
    <w:rsid w:val="00607BB0"/>
    <w:rsid w:val="00607C1F"/>
    <w:rsid w:val="006106B8"/>
    <w:rsid w:val="0061078D"/>
    <w:rsid w:val="00610C41"/>
    <w:rsid w:val="00610C68"/>
    <w:rsid w:val="00611322"/>
    <w:rsid w:val="0061160A"/>
    <w:rsid w:val="006118C8"/>
    <w:rsid w:val="00611917"/>
    <w:rsid w:val="00611C86"/>
    <w:rsid w:val="00611D53"/>
    <w:rsid w:val="00611F0B"/>
    <w:rsid w:val="006126D6"/>
    <w:rsid w:val="00612A1A"/>
    <w:rsid w:val="00612BE8"/>
    <w:rsid w:val="006134E6"/>
    <w:rsid w:val="00613650"/>
    <w:rsid w:val="00613690"/>
    <w:rsid w:val="0061376F"/>
    <w:rsid w:val="006138C8"/>
    <w:rsid w:val="0061401D"/>
    <w:rsid w:val="0061432E"/>
    <w:rsid w:val="00614457"/>
    <w:rsid w:val="00615026"/>
    <w:rsid w:val="00615A03"/>
    <w:rsid w:val="00615DA4"/>
    <w:rsid w:val="00615F08"/>
    <w:rsid w:val="006163DD"/>
    <w:rsid w:val="006165B4"/>
    <w:rsid w:val="00616B1D"/>
    <w:rsid w:val="00616D15"/>
    <w:rsid w:val="00616E0E"/>
    <w:rsid w:val="00616FE4"/>
    <w:rsid w:val="0061712C"/>
    <w:rsid w:val="006173FE"/>
    <w:rsid w:val="0061740B"/>
    <w:rsid w:val="0061742A"/>
    <w:rsid w:val="006174EF"/>
    <w:rsid w:val="0061782C"/>
    <w:rsid w:val="00617A0E"/>
    <w:rsid w:val="00617B7B"/>
    <w:rsid w:val="00617C2F"/>
    <w:rsid w:val="00617DD1"/>
    <w:rsid w:val="00617EB7"/>
    <w:rsid w:val="00620208"/>
    <w:rsid w:val="006202D2"/>
    <w:rsid w:val="006203F3"/>
    <w:rsid w:val="0062043F"/>
    <w:rsid w:val="006204DA"/>
    <w:rsid w:val="006205F9"/>
    <w:rsid w:val="00620883"/>
    <w:rsid w:val="006209AE"/>
    <w:rsid w:val="00620A4B"/>
    <w:rsid w:val="00620B67"/>
    <w:rsid w:val="00620BE9"/>
    <w:rsid w:val="00621811"/>
    <w:rsid w:val="00621DAC"/>
    <w:rsid w:val="006222FD"/>
    <w:rsid w:val="006231AC"/>
    <w:rsid w:val="006231CC"/>
    <w:rsid w:val="006234B6"/>
    <w:rsid w:val="006236A0"/>
    <w:rsid w:val="00623BA0"/>
    <w:rsid w:val="00623CE3"/>
    <w:rsid w:val="00623D47"/>
    <w:rsid w:val="00624306"/>
    <w:rsid w:val="006246E6"/>
    <w:rsid w:val="00624903"/>
    <w:rsid w:val="00624C1F"/>
    <w:rsid w:val="00624EA4"/>
    <w:rsid w:val="00624EA5"/>
    <w:rsid w:val="00624F8C"/>
    <w:rsid w:val="0062528D"/>
    <w:rsid w:val="006252ED"/>
    <w:rsid w:val="00625599"/>
    <w:rsid w:val="0062595E"/>
    <w:rsid w:val="006259A5"/>
    <w:rsid w:val="00625B27"/>
    <w:rsid w:val="00625D34"/>
    <w:rsid w:val="00625DF7"/>
    <w:rsid w:val="00625E56"/>
    <w:rsid w:val="00625FDC"/>
    <w:rsid w:val="0062610F"/>
    <w:rsid w:val="00626114"/>
    <w:rsid w:val="00626DFA"/>
    <w:rsid w:val="0062748D"/>
    <w:rsid w:val="0062786C"/>
    <w:rsid w:val="00627D61"/>
    <w:rsid w:val="00627E6C"/>
    <w:rsid w:val="00627F2E"/>
    <w:rsid w:val="00630103"/>
    <w:rsid w:val="006303BC"/>
    <w:rsid w:val="006307CF"/>
    <w:rsid w:val="00630DF1"/>
    <w:rsid w:val="00631024"/>
    <w:rsid w:val="006310CC"/>
    <w:rsid w:val="006310EE"/>
    <w:rsid w:val="0063125D"/>
    <w:rsid w:val="00631E91"/>
    <w:rsid w:val="00631F27"/>
    <w:rsid w:val="00631F88"/>
    <w:rsid w:val="006320DE"/>
    <w:rsid w:val="006325B9"/>
    <w:rsid w:val="00632889"/>
    <w:rsid w:val="006329E6"/>
    <w:rsid w:val="00632B3C"/>
    <w:rsid w:val="00632C14"/>
    <w:rsid w:val="00632DE0"/>
    <w:rsid w:val="00632E22"/>
    <w:rsid w:val="00632F60"/>
    <w:rsid w:val="0063310C"/>
    <w:rsid w:val="00633332"/>
    <w:rsid w:val="0063368F"/>
    <w:rsid w:val="00633796"/>
    <w:rsid w:val="00633BC4"/>
    <w:rsid w:val="00634CEB"/>
    <w:rsid w:val="00634D1A"/>
    <w:rsid w:val="00635295"/>
    <w:rsid w:val="00635571"/>
    <w:rsid w:val="006355E1"/>
    <w:rsid w:val="00635605"/>
    <w:rsid w:val="00635C71"/>
    <w:rsid w:val="00635F74"/>
    <w:rsid w:val="00636632"/>
    <w:rsid w:val="0063675F"/>
    <w:rsid w:val="0063687F"/>
    <w:rsid w:val="00636D85"/>
    <w:rsid w:val="00636E8E"/>
    <w:rsid w:val="00636F96"/>
    <w:rsid w:val="00637234"/>
    <w:rsid w:val="0063757B"/>
    <w:rsid w:val="00637652"/>
    <w:rsid w:val="00637E72"/>
    <w:rsid w:val="00640518"/>
    <w:rsid w:val="00640E4F"/>
    <w:rsid w:val="006414FB"/>
    <w:rsid w:val="00641B5C"/>
    <w:rsid w:val="006422DE"/>
    <w:rsid w:val="00642DD2"/>
    <w:rsid w:val="00642F2C"/>
    <w:rsid w:val="0064343E"/>
    <w:rsid w:val="00643574"/>
    <w:rsid w:val="00643BEB"/>
    <w:rsid w:val="00643D85"/>
    <w:rsid w:val="00643F6C"/>
    <w:rsid w:val="006443C2"/>
    <w:rsid w:val="006444FD"/>
    <w:rsid w:val="0064459A"/>
    <w:rsid w:val="006449B3"/>
    <w:rsid w:val="00644D5D"/>
    <w:rsid w:val="00644F01"/>
    <w:rsid w:val="00644F35"/>
    <w:rsid w:val="0064554E"/>
    <w:rsid w:val="006456CA"/>
    <w:rsid w:val="006459F2"/>
    <w:rsid w:val="00645A1C"/>
    <w:rsid w:val="00645DBA"/>
    <w:rsid w:val="0064620D"/>
    <w:rsid w:val="006463AC"/>
    <w:rsid w:val="00646885"/>
    <w:rsid w:val="0064694F"/>
    <w:rsid w:val="00646B65"/>
    <w:rsid w:val="00647434"/>
    <w:rsid w:val="00647AA4"/>
    <w:rsid w:val="006500F3"/>
    <w:rsid w:val="006501D5"/>
    <w:rsid w:val="006506BA"/>
    <w:rsid w:val="00650A21"/>
    <w:rsid w:val="00650A48"/>
    <w:rsid w:val="00650CA4"/>
    <w:rsid w:val="0065125D"/>
    <w:rsid w:val="0065152C"/>
    <w:rsid w:val="00651C9E"/>
    <w:rsid w:val="00651CC0"/>
    <w:rsid w:val="00651E3D"/>
    <w:rsid w:val="006522CC"/>
    <w:rsid w:val="00652472"/>
    <w:rsid w:val="00652546"/>
    <w:rsid w:val="00652772"/>
    <w:rsid w:val="0065284A"/>
    <w:rsid w:val="00652922"/>
    <w:rsid w:val="00652FB5"/>
    <w:rsid w:val="00653159"/>
    <w:rsid w:val="00653167"/>
    <w:rsid w:val="00653407"/>
    <w:rsid w:val="0065362C"/>
    <w:rsid w:val="006538A6"/>
    <w:rsid w:val="006538AE"/>
    <w:rsid w:val="00653B25"/>
    <w:rsid w:val="00653E0B"/>
    <w:rsid w:val="0065412B"/>
    <w:rsid w:val="006543A7"/>
    <w:rsid w:val="00654B5C"/>
    <w:rsid w:val="006553E5"/>
    <w:rsid w:val="00655411"/>
    <w:rsid w:val="00655417"/>
    <w:rsid w:val="0065556A"/>
    <w:rsid w:val="0065558D"/>
    <w:rsid w:val="0065575A"/>
    <w:rsid w:val="00656876"/>
    <w:rsid w:val="00656973"/>
    <w:rsid w:val="006569B5"/>
    <w:rsid w:val="00657098"/>
    <w:rsid w:val="0065712E"/>
    <w:rsid w:val="006571DB"/>
    <w:rsid w:val="0065766F"/>
    <w:rsid w:val="0065777A"/>
    <w:rsid w:val="00657DE3"/>
    <w:rsid w:val="00657EDC"/>
    <w:rsid w:val="00657EF1"/>
    <w:rsid w:val="0066026F"/>
    <w:rsid w:val="00660276"/>
    <w:rsid w:val="00660485"/>
    <w:rsid w:val="006607D3"/>
    <w:rsid w:val="00660BD0"/>
    <w:rsid w:val="00661019"/>
    <w:rsid w:val="006610EC"/>
    <w:rsid w:val="006616DB"/>
    <w:rsid w:val="00661C13"/>
    <w:rsid w:val="006620C0"/>
    <w:rsid w:val="0066212F"/>
    <w:rsid w:val="00662359"/>
    <w:rsid w:val="006623C0"/>
    <w:rsid w:val="00662808"/>
    <w:rsid w:val="00662890"/>
    <w:rsid w:val="00662AB6"/>
    <w:rsid w:val="006632AF"/>
    <w:rsid w:val="0066338A"/>
    <w:rsid w:val="00663543"/>
    <w:rsid w:val="00663645"/>
    <w:rsid w:val="006637A7"/>
    <w:rsid w:val="00663918"/>
    <w:rsid w:val="00663ABC"/>
    <w:rsid w:val="00663D2F"/>
    <w:rsid w:val="0066424E"/>
    <w:rsid w:val="006643B1"/>
    <w:rsid w:val="006643EE"/>
    <w:rsid w:val="00664881"/>
    <w:rsid w:val="00664A00"/>
    <w:rsid w:val="00664A85"/>
    <w:rsid w:val="00664CF2"/>
    <w:rsid w:val="00664F33"/>
    <w:rsid w:val="00664F96"/>
    <w:rsid w:val="006652DC"/>
    <w:rsid w:val="00665328"/>
    <w:rsid w:val="00665483"/>
    <w:rsid w:val="006659B3"/>
    <w:rsid w:val="006659E1"/>
    <w:rsid w:val="00665E79"/>
    <w:rsid w:val="0066611E"/>
    <w:rsid w:val="00666201"/>
    <w:rsid w:val="006662F1"/>
    <w:rsid w:val="00666686"/>
    <w:rsid w:val="00666C62"/>
    <w:rsid w:val="00666CE1"/>
    <w:rsid w:val="006671DF"/>
    <w:rsid w:val="006673A7"/>
    <w:rsid w:val="00667ECF"/>
    <w:rsid w:val="0067004F"/>
    <w:rsid w:val="00670197"/>
    <w:rsid w:val="00670340"/>
    <w:rsid w:val="00670803"/>
    <w:rsid w:val="00670A58"/>
    <w:rsid w:val="00670D8D"/>
    <w:rsid w:val="00670E8A"/>
    <w:rsid w:val="00670ED1"/>
    <w:rsid w:val="00670FFD"/>
    <w:rsid w:val="00671167"/>
    <w:rsid w:val="006712AB"/>
    <w:rsid w:val="00671C23"/>
    <w:rsid w:val="00671DA8"/>
    <w:rsid w:val="00671E4B"/>
    <w:rsid w:val="006724BE"/>
    <w:rsid w:val="00672579"/>
    <w:rsid w:val="006727F7"/>
    <w:rsid w:val="00672EC4"/>
    <w:rsid w:val="006730D5"/>
    <w:rsid w:val="006732AE"/>
    <w:rsid w:val="0067374A"/>
    <w:rsid w:val="006737AF"/>
    <w:rsid w:val="00673BBE"/>
    <w:rsid w:val="00673DED"/>
    <w:rsid w:val="00673ED1"/>
    <w:rsid w:val="00674150"/>
    <w:rsid w:val="0067472D"/>
    <w:rsid w:val="0067481D"/>
    <w:rsid w:val="00674C37"/>
    <w:rsid w:val="00674C66"/>
    <w:rsid w:val="00674E70"/>
    <w:rsid w:val="0067557B"/>
    <w:rsid w:val="0067596B"/>
    <w:rsid w:val="00675A97"/>
    <w:rsid w:val="006760CF"/>
    <w:rsid w:val="00676455"/>
    <w:rsid w:val="00676A2E"/>
    <w:rsid w:val="00676AF9"/>
    <w:rsid w:val="00676B23"/>
    <w:rsid w:val="00676C6D"/>
    <w:rsid w:val="00676ED9"/>
    <w:rsid w:val="0067708F"/>
    <w:rsid w:val="00677278"/>
    <w:rsid w:val="006773A7"/>
    <w:rsid w:val="00677582"/>
    <w:rsid w:val="00677C78"/>
    <w:rsid w:val="00680266"/>
    <w:rsid w:val="006809FD"/>
    <w:rsid w:val="00680C32"/>
    <w:rsid w:val="006811C0"/>
    <w:rsid w:val="006812C5"/>
    <w:rsid w:val="00681398"/>
    <w:rsid w:val="00681550"/>
    <w:rsid w:val="006815DA"/>
    <w:rsid w:val="006815F6"/>
    <w:rsid w:val="00681D75"/>
    <w:rsid w:val="00681F15"/>
    <w:rsid w:val="00682121"/>
    <w:rsid w:val="00682434"/>
    <w:rsid w:val="006826A9"/>
    <w:rsid w:val="006828E1"/>
    <w:rsid w:val="00682E6D"/>
    <w:rsid w:val="00682E7F"/>
    <w:rsid w:val="0068300D"/>
    <w:rsid w:val="00683397"/>
    <w:rsid w:val="006837BE"/>
    <w:rsid w:val="00683CE7"/>
    <w:rsid w:val="0068419A"/>
    <w:rsid w:val="00684342"/>
    <w:rsid w:val="00684388"/>
    <w:rsid w:val="00684528"/>
    <w:rsid w:val="0068483B"/>
    <w:rsid w:val="00684979"/>
    <w:rsid w:val="00684B80"/>
    <w:rsid w:val="00684C3E"/>
    <w:rsid w:val="00684D4F"/>
    <w:rsid w:val="0068522A"/>
    <w:rsid w:val="00685581"/>
    <w:rsid w:val="006855C4"/>
    <w:rsid w:val="00685815"/>
    <w:rsid w:val="00685FD9"/>
    <w:rsid w:val="0068661F"/>
    <w:rsid w:val="006866AF"/>
    <w:rsid w:val="006866BF"/>
    <w:rsid w:val="00687197"/>
    <w:rsid w:val="006873F5"/>
    <w:rsid w:val="00687416"/>
    <w:rsid w:val="00687789"/>
    <w:rsid w:val="006879B1"/>
    <w:rsid w:val="00687C9F"/>
    <w:rsid w:val="00687DA3"/>
    <w:rsid w:val="006900B6"/>
    <w:rsid w:val="006902E1"/>
    <w:rsid w:val="00690446"/>
    <w:rsid w:val="00690A25"/>
    <w:rsid w:val="00690CE2"/>
    <w:rsid w:val="00690E4C"/>
    <w:rsid w:val="0069110B"/>
    <w:rsid w:val="00691191"/>
    <w:rsid w:val="00691495"/>
    <w:rsid w:val="00691642"/>
    <w:rsid w:val="00691D22"/>
    <w:rsid w:val="006927BD"/>
    <w:rsid w:val="00692A8B"/>
    <w:rsid w:val="00692B2F"/>
    <w:rsid w:val="006930D2"/>
    <w:rsid w:val="00693542"/>
    <w:rsid w:val="00693860"/>
    <w:rsid w:val="00693E66"/>
    <w:rsid w:val="00694328"/>
    <w:rsid w:val="006943F2"/>
    <w:rsid w:val="006944E9"/>
    <w:rsid w:val="006945E3"/>
    <w:rsid w:val="00694912"/>
    <w:rsid w:val="00694DE1"/>
    <w:rsid w:val="0069510F"/>
    <w:rsid w:val="0069546C"/>
    <w:rsid w:val="006956AE"/>
    <w:rsid w:val="00695BEE"/>
    <w:rsid w:val="006963D6"/>
    <w:rsid w:val="00696D47"/>
    <w:rsid w:val="00696D94"/>
    <w:rsid w:val="006971B0"/>
    <w:rsid w:val="00697883"/>
    <w:rsid w:val="00697B70"/>
    <w:rsid w:val="00697C00"/>
    <w:rsid w:val="006A0249"/>
    <w:rsid w:val="006A03C5"/>
    <w:rsid w:val="006A058F"/>
    <w:rsid w:val="006A084A"/>
    <w:rsid w:val="006A0E9B"/>
    <w:rsid w:val="006A0FE8"/>
    <w:rsid w:val="006A12C7"/>
    <w:rsid w:val="006A173C"/>
    <w:rsid w:val="006A2089"/>
    <w:rsid w:val="006A2390"/>
    <w:rsid w:val="006A2714"/>
    <w:rsid w:val="006A3307"/>
    <w:rsid w:val="006A346E"/>
    <w:rsid w:val="006A3669"/>
    <w:rsid w:val="006A3C86"/>
    <w:rsid w:val="006A3E4E"/>
    <w:rsid w:val="006A3ECD"/>
    <w:rsid w:val="006A40DB"/>
    <w:rsid w:val="006A4293"/>
    <w:rsid w:val="006A4614"/>
    <w:rsid w:val="006A4616"/>
    <w:rsid w:val="006A49E5"/>
    <w:rsid w:val="006A4F5A"/>
    <w:rsid w:val="006A53E2"/>
    <w:rsid w:val="006A588F"/>
    <w:rsid w:val="006A593D"/>
    <w:rsid w:val="006A5F70"/>
    <w:rsid w:val="006A5FF4"/>
    <w:rsid w:val="006A6235"/>
    <w:rsid w:val="006A6517"/>
    <w:rsid w:val="006A6754"/>
    <w:rsid w:val="006A676C"/>
    <w:rsid w:val="006A68DB"/>
    <w:rsid w:val="006A6B2A"/>
    <w:rsid w:val="006A6BEB"/>
    <w:rsid w:val="006A722A"/>
    <w:rsid w:val="006A7C63"/>
    <w:rsid w:val="006A7CBA"/>
    <w:rsid w:val="006A7D69"/>
    <w:rsid w:val="006A7EB0"/>
    <w:rsid w:val="006B0397"/>
    <w:rsid w:val="006B03C4"/>
    <w:rsid w:val="006B0569"/>
    <w:rsid w:val="006B0852"/>
    <w:rsid w:val="006B093C"/>
    <w:rsid w:val="006B0CCB"/>
    <w:rsid w:val="006B10B6"/>
    <w:rsid w:val="006B1248"/>
    <w:rsid w:val="006B12E6"/>
    <w:rsid w:val="006B16C6"/>
    <w:rsid w:val="006B1B1C"/>
    <w:rsid w:val="006B1CF2"/>
    <w:rsid w:val="006B1E5D"/>
    <w:rsid w:val="006B21E5"/>
    <w:rsid w:val="006B2541"/>
    <w:rsid w:val="006B2668"/>
    <w:rsid w:val="006B27F2"/>
    <w:rsid w:val="006B2825"/>
    <w:rsid w:val="006B2A64"/>
    <w:rsid w:val="006B2AEE"/>
    <w:rsid w:val="006B3411"/>
    <w:rsid w:val="006B37BF"/>
    <w:rsid w:val="006B39D6"/>
    <w:rsid w:val="006B3AC2"/>
    <w:rsid w:val="006B3B83"/>
    <w:rsid w:val="006B42DE"/>
    <w:rsid w:val="006B443C"/>
    <w:rsid w:val="006B44E0"/>
    <w:rsid w:val="006B4ABE"/>
    <w:rsid w:val="006B4B8B"/>
    <w:rsid w:val="006B5A8A"/>
    <w:rsid w:val="006B5C91"/>
    <w:rsid w:val="006B5EF7"/>
    <w:rsid w:val="006B5F8A"/>
    <w:rsid w:val="006B6974"/>
    <w:rsid w:val="006B6B40"/>
    <w:rsid w:val="006B6BF3"/>
    <w:rsid w:val="006B6D41"/>
    <w:rsid w:val="006B6EF5"/>
    <w:rsid w:val="006B7145"/>
    <w:rsid w:val="006B7360"/>
    <w:rsid w:val="006B7416"/>
    <w:rsid w:val="006B75A8"/>
    <w:rsid w:val="006B76E8"/>
    <w:rsid w:val="006B7A5D"/>
    <w:rsid w:val="006B7C3C"/>
    <w:rsid w:val="006B7C7B"/>
    <w:rsid w:val="006B7ED6"/>
    <w:rsid w:val="006C05EA"/>
    <w:rsid w:val="006C0C0D"/>
    <w:rsid w:val="006C0DC6"/>
    <w:rsid w:val="006C0FE2"/>
    <w:rsid w:val="006C19AD"/>
    <w:rsid w:val="006C1DB4"/>
    <w:rsid w:val="006C253C"/>
    <w:rsid w:val="006C25F3"/>
    <w:rsid w:val="006C282C"/>
    <w:rsid w:val="006C2AA8"/>
    <w:rsid w:val="006C2BB9"/>
    <w:rsid w:val="006C2F72"/>
    <w:rsid w:val="006C3005"/>
    <w:rsid w:val="006C33BB"/>
    <w:rsid w:val="006C33FE"/>
    <w:rsid w:val="006C3F1C"/>
    <w:rsid w:val="006C3FE6"/>
    <w:rsid w:val="006C41DF"/>
    <w:rsid w:val="006C42C9"/>
    <w:rsid w:val="006C43CF"/>
    <w:rsid w:val="006C4527"/>
    <w:rsid w:val="006C4BFE"/>
    <w:rsid w:val="006C5171"/>
    <w:rsid w:val="006C53A0"/>
    <w:rsid w:val="006C55EC"/>
    <w:rsid w:val="006C565E"/>
    <w:rsid w:val="006C57B0"/>
    <w:rsid w:val="006C592C"/>
    <w:rsid w:val="006C5B25"/>
    <w:rsid w:val="006C5D67"/>
    <w:rsid w:val="006C644A"/>
    <w:rsid w:val="006C65D5"/>
    <w:rsid w:val="006C698E"/>
    <w:rsid w:val="006C6D00"/>
    <w:rsid w:val="006C6EB2"/>
    <w:rsid w:val="006C76B6"/>
    <w:rsid w:val="006C7A20"/>
    <w:rsid w:val="006C7B21"/>
    <w:rsid w:val="006C7ED0"/>
    <w:rsid w:val="006D02BC"/>
    <w:rsid w:val="006D052C"/>
    <w:rsid w:val="006D0808"/>
    <w:rsid w:val="006D0BCB"/>
    <w:rsid w:val="006D0C73"/>
    <w:rsid w:val="006D0DB1"/>
    <w:rsid w:val="006D0F36"/>
    <w:rsid w:val="006D1AC1"/>
    <w:rsid w:val="006D1FE8"/>
    <w:rsid w:val="006D23B2"/>
    <w:rsid w:val="006D2686"/>
    <w:rsid w:val="006D26FE"/>
    <w:rsid w:val="006D2804"/>
    <w:rsid w:val="006D2827"/>
    <w:rsid w:val="006D3020"/>
    <w:rsid w:val="006D32E5"/>
    <w:rsid w:val="006D355B"/>
    <w:rsid w:val="006D381C"/>
    <w:rsid w:val="006D3B4A"/>
    <w:rsid w:val="006D3D30"/>
    <w:rsid w:val="006D3DD0"/>
    <w:rsid w:val="006D4568"/>
    <w:rsid w:val="006D495A"/>
    <w:rsid w:val="006D4973"/>
    <w:rsid w:val="006D5633"/>
    <w:rsid w:val="006D566E"/>
    <w:rsid w:val="006D5ED1"/>
    <w:rsid w:val="006D64F1"/>
    <w:rsid w:val="006D67D5"/>
    <w:rsid w:val="006D6A82"/>
    <w:rsid w:val="006D6C81"/>
    <w:rsid w:val="006D6D24"/>
    <w:rsid w:val="006D6EAB"/>
    <w:rsid w:val="006D704F"/>
    <w:rsid w:val="006D70FF"/>
    <w:rsid w:val="006D71D0"/>
    <w:rsid w:val="006D7304"/>
    <w:rsid w:val="006D77BF"/>
    <w:rsid w:val="006D7A7C"/>
    <w:rsid w:val="006D7B82"/>
    <w:rsid w:val="006D7DED"/>
    <w:rsid w:val="006E08B5"/>
    <w:rsid w:val="006E14A1"/>
    <w:rsid w:val="006E1895"/>
    <w:rsid w:val="006E1968"/>
    <w:rsid w:val="006E1CC7"/>
    <w:rsid w:val="006E2989"/>
    <w:rsid w:val="006E2AC5"/>
    <w:rsid w:val="006E2BE1"/>
    <w:rsid w:val="006E305C"/>
    <w:rsid w:val="006E3193"/>
    <w:rsid w:val="006E3437"/>
    <w:rsid w:val="006E3498"/>
    <w:rsid w:val="006E3566"/>
    <w:rsid w:val="006E3696"/>
    <w:rsid w:val="006E382D"/>
    <w:rsid w:val="006E40BA"/>
    <w:rsid w:val="006E43AB"/>
    <w:rsid w:val="006E4420"/>
    <w:rsid w:val="006E4566"/>
    <w:rsid w:val="006E4C5B"/>
    <w:rsid w:val="006E4FB8"/>
    <w:rsid w:val="006E5431"/>
    <w:rsid w:val="006E54AF"/>
    <w:rsid w:val="006E6372"/>
    <w:rsid w:val="006E6991"/>
    <w:rsid w:val="006E6B7F"/>
    <w:rsid w:val="006E6CB9"/>
    <w:rsid w:val="006E6DB6"/>
    <w:rsid w:val="006E7885"/>
    <w:rsid w:val="006E7890"/>
    <w:rsid w:val="006E7AE3"/>
    <w:rsid w:val="006E7B97"/>
    <w:rsid w:val="006F0DDF"/>
    <w:rsid w:val="006F10EF"/>
    <w:rsid w:val="006F1484"/>
    <w:rsid w:val="006F1549"/>
    <w:rsid w:val="006F1DC2"/>
    <w:rsid w:val="006F22CC"/>
    <w:rsid w:val="006F2377"/>
    <w:rsid w:val="006F24B4"/>
    <w:rsid w:val="006F25F7"/>
    <w:rsid w:val="006F29F5"/>
    <w:rsid w:val="006F2A24"/>
    <w:rsid w:val="006F2B0D"/>
    <w:rsid w:val="006F2FA0"/>
    <w:rsid w:val="006F393E"/>
    <w:rsid w:val="006F3CAD"/>
    <w:rsid w:val="006F3F80"/>
    <w:rsid w:val="006F4059"/>
    <w:rsid w:val="006F4610"/>
    <w:rsid w:val="006F5763"/>
    <w:rsid w:val="006F5A28"/>
    <w:rsid w:val="006F5A8B"/>
    <w:rsid w:val="006F5C1A"/>
    <w:rsid w:val="006F628A"/>
    <w:rsid w:val="006F629F"/>
    <w:rsid w:val="006F67E7"/>
    <w:rsid w:val="006F695B"/>
    <w:rsid w:val="006F6EAD"/>
    <w:rsid w:val="006F6F29"/>
    <w:rsid w:val="006F6F48"/>
    <w:rsid w:val="006F712F"/>
    <w:rsid w:val="006F73CA"/>
    <w:rsid w:val="006F741D"/>
    <w:rsid w:val="006F746F"/>
    <w:rsid w:val="006F78F1"/>
    <w:rsid w:val="006F7B42"/>
    <w:rsid w:val="0070016C"/>
    <w:rsid w:val="007001E4"/>
    <w:rsid w:val="007003C1"/>
    <w:rsid w:val="0070067C"/>
    <w:rsid w:val="007006C1"/>
    <w:rsid w:val="00700A2A"/>
    <w:rsid w:val="00700AE7"/>
    <w:rsid w:val="00700DC3"/>
    <w:rsid w:val="00700F6B"/>
    <w:rsid w:val="007010FC"/>
    <w:rsid w:val="0070111B"/>
    <w:rsid w:val="0070132C"/>
    <w:rsid w:val="007019C8"/>
    <w:rsid w:val="0070238D"/>
    <w:rsid w:val="00702438"/>
    <w:rsid w:val="007024EE"/>
    <w:rsid w:val="00702A00"/>
    <w:rsid w:val="00702DDD"/>
    <w:rsid w:val="00702F8C"/>
    <w:rsid w:val="0070320F"/>
    <w:rsid w:val="00703389"/>
    <w:rsid w:val="007034B0"/>
    <w:rsid w:val="00703E0D"/>
    <w:rsid w:val="0070404E"/>
    <w:rsid w:val="00704069"/>
    <w:rsid w:val="00704288"/>
    <w:rsid w:val="0070447A"/>
    <w:rsid w:val="00704509"/>
    <w:rsid w:val="00704517"/>
    <w:rsid w:val="007049CC"/>
    <w:rsid w:val="00704CE9"/>
    <w:rsid w:val="00704F1E"/>
    <w:rsid w:val="0070524E"/>
    <w:rsid w:val="0070535B"/>
    <w:rsid w:val="0070598F"/>
    <w:rsid w:val="00705A1C"/>
    <w:rsid w:val="00705E79"/>
    <w:rsid w:val="00705EB3"/>
    <w:rsid w:val="00705FFD"/>
    <w:rsid w:val="007060B2"/>
    <w:rsid w:val="00706618"/>
    <w:rsid w:val="0070675A"/>
    <w:rsid w:val="00706A7A"/>
    <w:rsid w:val="00706B9B"/>
    <w:rsid w:val="00706C91"/>
    <w:rsid w:val="00707143"/>
    <w:rsid w:val="0070716B"/>
    <w:rsid w:val="00707355"/>
    <w:rsid w:val="0070785B"/>
    <w:rsid w:val="00707889"/>
    <w:rsid w:val="007078C0"/>
    <w:rsid w:val="007079B7"/>
    <w:rsid w:val="0071016E"/>
    <w:rsid w:val="007103D3"/>
    <w:rsid w:val="007107A8"/>
    <w:rsid w:val="007107F4"/>
    <w:rsid w:val="00710B00"/>
    <w:rsid w:val="00710C50"/>
    <w:rsid w:val="007113E7"/>
    <w:rsid w:val="007114BE"/>
    <w:rsid w:val="007115CB"/>
    <w:rsid w:val="00711933"/>
    <w:rsid w:val="00711D0E"/>
    <w:rsid w:val="00712564"/>
    <w:rsid w:val="007126BE"/>
    <w:rsid w:val="007127B6"/>
    <w:rsid w:val="0071323A"/>
    <w:rsid w:val="00713543"/>
    <w:rsid w:val="00713879"/>
    <w:rsid w:val="007138A3"/>
    <w:rsid w:val="00713D4A"/>
    <w:rsid w:val="00713F45"/>
    <w:rsid w:val="0071404A"/>
    <w:rsid w:val="00714572"/>
    <w:rsid w:val="0071477A"/>
    <w:rsid w:val="00714988"/>
    <w:rsid w:val="00714B37"/>
    <w:rsid w:val="00714B62"/>
    <w:rsid w:val="00714EA4"/>
    <w:rsid w:val="007157FA"/>
    <w:rsid w:val="00715927"/>
    <w:rsid w:val="00715AA6"/>
    <w:rsid w:val="00715E4A"/>
    <w:rsid w:val="00716141"/>
    <w:rsid w:val="00716282"/>
    <w:rsid w:val="007162A7"/>
    <w:rsid w:val="007162F7"/>
    <w:rsid w:val="007163A0"/>
    <w:rsid w:val="00716435"/>
    <w:rsid w:val="007166B6"/>
    <w:rsid w:val="00716BBB"/>
    <w:rsid w:val="00717514"/>
    <w:rsid w:val="00717578"/>
    <w:rsid w:val="0072008A"/>
    <w:rsid w:val="00720527"/>
    <w:rsid w:val="007208AD"/>
    <w:rsid w:val="00720C86"/>
    <w:rsid w:val="00720FC8"/>
    <w:rsid w:val="0072115B"/>
    <w:rsid w:val="007217A6"/>
    <w:rsid w:val="00721967"/>
    <w:rsid w:val="00722340"/>
    <w:rsid w:val="007225EA"/>
    <w:rsid w:val="007225F4"/>
    <w:rsid w:val="00722811"/>
    <w:rsid w:val="00722A4F"/>
    <w:rsid w:val="00722E14"/>
    <w:rsid w:val="00722EB0"/>
    <w:rsid w:val="0072307E"/>
    <w:rsid w:val="0072338A"/>
    <w:rsid w:val="0072342E"/>
    <w:rsid w:val="00723575"/>
    <w:rsid w:val="00723B4C"/>
    <w:rsid w:val="00723BAC"/>
    <w:rsid w:val="00723F97"/>
    <w:rsid w:val="007242BF"/>
    <w:rsid w:val="00724473"/>
    <w:rsid w:val="007246FD"/>
    <w:rsid w:val="007252CA"/>
    <w:rsid w:val="00725478"/>
    <w:rsid w:val="00725680"/>
    <w:rsid w:val="007258CB"/>
    <w:rsid w:val="00725B80"/>
    <w:rsid w:val="00725EFA"/>
    <w:rsid w:val="007263ED"/>
    <w:rsid w:val="007265B4"/>
    <w:rsid w:val="0072708C"/>
    <w:rsid w:val="00727270"/>
    <w:rsid w:val="00727A63"/>
    <w:rsid w:val="00727B0F"/>
    <w:rsid w:val="00727F98"/>
    <w:rsid w:val="00730883"/>
    <w:rsid w:val="0073096F"/>
    <w:rsid w:val="00730A54"/>
    <w:rsid w:val="00730A6D"/>
    <w:rsid w:val="00730AF0"/>
    <w:rsid w:val="00730C48"/>
    <w:rsid w:val="00730DDC"/>
    <w:rsid w:val="00731006"/>
    <w:rsid w:val="0073140E"/>
    <w:rsid w:val="00731654"/>
    <w:rsid w:val="007317A9"/>
    <w:rsid w:val="0073192E"/>
    <w:rsid w:val="00731D95"/>
    <w:rsid w:val="00731F48"/>
    <w:rsid w:val="00732544"/>
    <w:rsid w:val="00732A22"/>
    <w:rsid w:val="00732BD1"/>
    <w:rsid w:val="00732E69"/>
    <w:rsid w:val="007336EE"/>
    <w:rsid w:val="00733860"/>
    <w:rsid w:val="00733BF4"/>
    <w:rsid w:val="00733E28"/>
    <w:rsid w:val="007340A1"/>
    <w:rsid w:val="0073415A"/>
    <w:rsid w:val="007342AF"/>
    <w:rsid w:val="007345E4"/>
    <w:rsid w:val="0073463E"/>
    <w:rsid w:val="00734C20"/>
    <w:rsid w:val="00734CAA"/>
    <w:rsid w:val="00734DD3"/>
    <w:rsid w:val="007352FC"/>
    <w:rsid w:val="00735443"/>
    <w:rsid w:val="007357FA"/>
    <w:rsid w:val="00735A96"/>
    <w:rsid w:val="00735D07"/>
    <w:rsid w:val="00735DEF"/>
    <w:rsid w:val="00735E7E"/>
    <w:rsid w:val="00736439"/>
    <w:rsid w:val="00736FD5"/>
    <w:rsid w:val="00737087"/>
    <w:rsid w:val="00737320"/>
    <w:rsid w:val="00737456"/>
    <w:rsid w:val="00740212"/>
    <w:rsid w:val="007403E1"/>
    <w:rsid w:val="007404E3"/>
    <w:rsid w:val="007405AD"/>
    <w:rsid w:val="007408DE"/>
    <w:rsid w:val="007409A7"/>
    <w:rsid w:val="007409E3"/>
    <w:rsid w:val="00740BB0"/>
    <w:rsid w:val="00740F1E"/>
    <w:rsid w:val="007412D8"/>
    <w:rsid w:val="007413DD"/>
    <w:rsid w:val="0074151E"/>
    <w:rsid w:val="00741A21"/>
    <w:rsid w:val="00741F29"/>
    <w:rsid w:val="007422A8"/>
    <w:rsid w:val="00742582"/>
    <w:rsid w:val="007425D7"/>
    <w:rsid w:val="00742E4D"/>
    <w:rsid w:val="00742F4F"/>
    <w:rsid w:val="007431A5"/>
    <w:rsid w:val="00743405"/>
    <w:rsid w:val="00743916"/>
    <w:rsid w:val="00743A1D"/>
    <w:rsid w:val="00743AF3"/>
    <w:rsid w:val="00743FED"/>
    <w:rsid w:val="007446F3"/>
    <w:rsid w:val="0074474F"/>
    <w:rsid w:val="00745113"/>
    <w:rsid w:val="00745292"/>
    <w:rsid w:val="007452D2"/>
    <w:rsid w:val="0074554E"/>
    <w:rsid w:val="00745C91"/>
    <w:rsid w:val="007463FC"/>
    <w:rsid w:val="00746A69"/>
    <w:rsid w:val="00746C3B"/>
    <w:rsid w:val="00747092"/>
    <w:rsid w:val="007470C4"/>
    <w:rsid w:val="00747105"/>
    <w:rsid w:val="0074763D"/>
    <w:rsid w:val="00747676"/>
    <w:rsid w:val="00747788"/>
    <w:rsid w:val="00747F9D"/>
    <w:rsid w:val="00750015"/>
    <w:rsid w:val="00750552"/>
    <w:rsid w:val="007505FA"/>
    <w:rsid w:val="00750AA5"/>
    <w:rsid w:val="00750C1D"/>
    <w:rsid w:val="00750DA6"/>
    <w:rsid w:val="00751301"/>
    <w:rsid w:val="007517AE"/>
    <w:rsid w:val="00751CDB"/>
    <w:rsid w:val="007523D7"/>
    <w:rsid w:val="00752B22"/>
    <w:rsid w:val="00752B4E"/>
    <w:rsid w:val="00752C82"/>
    <w:rsid w:val="00752FBB"/>
    <w:rsid w:val="0075348A"/>
    <w:rsid w:val="007535EB"/>
    <w:rsid w:val="007540FB"/>
    <w:rsid w:val="0075438A"/>
    <w:rsid w:val="007549A3"/>
    <w:rsid w:val="00754B6F"/>
    <w:rsid w:val="0075512A"/>
    <w:rsid w:val="0075516D"/>
    <w:rsid w:val="0075524F"/>
    <w:rsid w:val="007553CA"/>
    <w:rsid w:val="007555BA"/>
    <w:rsid w:val="00755837"/>
    <w:rsid w:val="00755853"/>
    <w:rsid w:val="00755887"/>
    <w:rsid w:val="00755975"/>
    <w:rsid w:val="00755BC1"/>
    <w:rsid w:val="00755C09"/>
    <w:rsid w:val="00755D9F"/>
    <w:rsid w:val="0075607D"/>
    <w:rsid w:val="00756489"/>
    <w:rsid w:val="00756653"/>
    <w:rsid w:val="00756CA2"/>
    <w:rsid w:val="0075704C"/>
    <w:rsid w:val="007571B1"/>
    <w:rsid w:val="00757470"/>
    <w:rsid w:val="0075785E"/>
    <w:rsid w:val="00757AE2"/>
    <w:rsid w:val="00757D6C"/>
    <w:rsid w:val="00757E71"/>
    <w:rsid w:val="007600F0"/>
    <w:rsid w:val="007607B6"/>
    <w:rsid w:val="0076095C"/>
    <w:rsid w:val="00760A06"/>
    <w:rsid w:val="00760BBB"/>
    <w:rsid w:val="00760DD0"/>
    <w:rsid w:val="00760F16"/>
    <w:rsid w:val="0076126D"/>
    <w:rsid w:val="0076138D"/>
    <w:rsid w:val="00761435"/>
    <w:rsid w:val="00761608"/>
    <w:rsid w:val="00761819"/>
    <w:rsid w:val="00762121"/>
    <w:rsid w:val="007623C9"/>
    <w:rsid w:val="00762481"/>
    <w:rsid w:val="007625EC"/>
    <w:rsid w:val="0076263D"/>
    <w:rsid w:val="0076272A"/>
    <w:rsid w:val="007627A7"/>
    <w:rsid w:val="00762863"/>
    <w:rsid w:val="00762865"/>
    <w:rsid w:val="007632C2"/>
    <w:rsid w:val="0076368C"/>
    <w:rsid w:val="00763B1D"/>
    <w:rsid w:val="00764131"/>
    <w:rsid w:val="007642BF"/>
    <w:rsid w:val="007643C8"/>
    <w:rsid w:val="007644A7"/>
    <w:rsid w:val="0076459A"/>
    <w:rsid w:val="00764619"/>
    <w:rsid w:val="00764763"/>
    <w:rsid w:val="007649D6"/>
    <w:rsid w:val="00764C80"/>
    <w:rsid w:val="00764FE2"/>
    <w:rsid w:val="007655C1"/>
    <w:rsid w:val="00765D27"/>
    <w:rsid w:val="00766745"/>
    <w:rsid w:val="0076690E"/>
    <w:rsid w:val="00766966"/>
    <w:rsid w:val="007669D4"/>
    <w:rsid w:val="007673B1"/>
    <w:rsid w:val="00767E0A"/>
    <w:rsid w:val="00767EFD"/>
    <w:rsid w:val="00767F44"/>
    <w:rsid w:val="0077022F"/>
    <w:rsid w:val="0077039D"/>
    <w:rsid w:val="00770EFB"/>
    <w:rsid w:val="007714DB"/>
    <w:rsid w:val="0077199A"/>
    <w:rsid w:val="00771C43"/>
    <w:rsid w:val="00771C94"/>
    <w:rsid w:val="007720FB"/>
    <w:rsid w:val="00772128"/>
    <w:rsid w:val="007724CC"/>
    <w:rsid w:val="00772F77"/>
    <w:rsid w:val="007732B9"/>
    <w:rsid w:val="007737EB"/>
    <w:rsid w:val="00773AA7"/>
    <w:rsid w:val="007740C6"/>
    <w:rsid w:val="00774439"/>
    <w:rsid w:val="00774500"/>
    <w:rsid w:val="007749C8"/>
    <w:rsid w:val="00774AD0"/>
    <w:rsid w:val="00774D3B"/>
    <w:rsid w:val="00774DBF"/>
    <w:rsid w:val="00774E8D"/>
    <w:rsid w:val="00774F58"/>
    <w:rsid w:val="0077583A"/>
    <w:rsid w:val="00775A47"/>
    <w:rsid w:val="00776062"/>
    <w:rsid w:val="00776206"/>
    <w:rsid w:val="00776A76"/>
    <w:rsid w:val="00776AFF"/>
    <w:rsid w:val="00776FE4"/>
    <w:rsid w:val="00777239"/>
    <w:rsid w:val="00777252"/>
    <w:rsid w:val="007774A8"/>
    <w:rsid w:val="0077795A"/>
    <w:rsid w:val="00777CC0"/>
    <w:rsid w:val="00780034"/>
    <w:rsid w:val="007801B8"/>
    <w:rsid w:val="0078056A"/>
    <w:rsid w:val="00780944"/>
    <w:rsid w:val="00780ABA"/>
    <w:rsid w:val="00780B11"/>
    <w:rsid w:val="00780D9E"/>
    <w:rsid w:val="007812CE"/>
    <w:rsid w:val="00781981"/>
    <w:rsid w:val="00781AE9"/>
    <w:rsid w:val="00781E39"/>
    <w:rsid w:val="0078207B"/>
    <w:rsid w:val="00782233"/>
    <w:rsid w:val="007826E3"/>
    <w:rsid w:val="007827B3"/>
    <w:rsid w:val="00782837"/>
    <w:rsid w:val="007828D1"/>
    <w:rsid w:val="00782C57"/>
    <w:rsid w:val="00782E55"/>
    <w:rsid w:val="0078313A"/>
    <w:rsid w:val="0078332F"/>
    <w:rsid w:val="007836CD"/>
    <w:rsid w:val="00783779"/>
    <w:rsid w:val="00783826"/>
    <w:rsid w:val="007838DB"/>
    <w:rsid w:val="00783CB5"/>
    <w:rsid w:val="00783D1D"/>
    <w:rsid w:val="00783DB4"/>
    <w:rsid w:val="00784DB7"/>
    <w:rsid w:val="007850B1"/>
    <w:rsid w:val="0078510E"/>
    <w:rsid w:val="0078514E"/>
    <w:rsid w:val="0078521A"/>
    <w:rsid w:val="00785277"/>
    <w:rsid w:val="007856BF"/>
    <w:rsid w:val="007856DC"/>
    <w:rsid w:val="0078577C"/>
    <w:rsid w:val="00785866"/>
    <w:rsid w:val="00785F6E"/>
    <w:rsid w:val="00785FC0"/>
    <w:rsid w:val="00786107"/>
    <w:rsid w:val="007869D0"/>
    <w:rsid w:val="007869D1"/>
    <w:rsid w:val="00786BA4"/>
    <w:rsid w:val="00786FDF"/>
    <w:rsid w:val="0078723F"/>
    <w:rsid w:val="007874F9"/>
    <w:rsid w:val="00787509"/>
    <w:rsid w:val="00787731"/>
    <w:rsid w:val="00787B13"/>
    <w:rsid w:val="00787CEE"/>
    <w:rsid w:val="007908F6"/>
    <w:rsid w:val="00790988"/>
    <w:rsid w:val="00790C6E"/>
    <w:rsid w:val="00790C73"/>
    <w:rsid w:val="00790FDF"/>
    <w:rsid w:val="007913EF"/>
    <w:rsid w:val="007916AF"/>
    <w:rsid w:val="00791736"/>
    <w:rsid w:val="00791C15"/>
    <w:rsid w:val="00791CCD"/>
    <w:rsid w:val="00791ED7"/>
    <w:rsid w:val="007922D7"/>
    <w:rsid w:val="007924F2"/>
    <w:rsid w:val="007925D1"/>
    <w:rsid w:val="0079266E"/>
    <w:rsid w:val="00792875"/>
    <w:rsid w:val="00792AA1"/>
    <w:rsid w:val="00792DDD"/>
    <w:rsid w:val="00793024"/>
    <w:rsid w:val="0079306A"/>
    <w:rsid w:val="00793223"/>
    <w:rsid w:val="0079328B"/>
    <w:rsid w:val="007933CD"/>
    <w:rsid w:val="00793985"/>
    <w:rsid w:val="00793A06"/>
    <w:rsid w:val="00793A75"/>
    <w:rsid w:val="00793BFA"/>
    <w:rsid w:val="00793C02"/>
    <w:rsid w:val="00793EF5"/>
    <w:rsid w:val="007940B5"/>
    <w:rsid w:val="00794D06"/>
    <w:rsid w:val="00794DF4"/>
    <w:rsid w:val="00794FC9"/>
    <w:rsid w:val="0079516B"/>
    <w:rsid w:val="0079568A"/>
    <w:rsid w:val="00795AED"/>
    <w:rsid w:val="00796253"/>
    <w:rsid w:val="00796314"/>
    <w:rsid w:val="00796BF4"/>
    <w:rsid w:val="007975FD"/>
    <w:rsid w:val="00797E40"/>
    <w:rsid w:val="00797E53"/>
    <w:rsid w:val="007A0110"/>
    <w:rsid w:val="007A03E1"/>
    <w:rsid w:val="007A04E0"/>
    <w:rsid w:val="007A0B5A"/>
    <w:rsid w:val="007A0E64"/>
    <w:rsid w:val="007A0F04"/>
    <w:rsid w:val="007A0FA1"/>
    <w:rsid w:val="007A1063"/>
    <w:rsid w:val="007A1081"/>
    <w:rsid w:val="007A1146"/>
    <w:rsid w:val="007A1558"/>
    <w:rsid w:val="007A15A9"/>
    <w:rsid w:val="007A1795"/>
    <w:rsid w:val="007A2320"/>
    <w:rsid w:val="007A25DE"/>
    <w:rsid w:val="007A277E"/>
    <w:rsid w:val="007A2800"/>
    <w:rsid w:val="007A290C"/>
    <w:rsid w:val="007A29C8"/>
    <w:rsid w:val="007A2B47"/>
    <w:rsid w:val="007A2F57"/>
    <w:rsid w:val="007A30A2"/>
    <w:rsid w:val="007A30A7"/>
    <w:rsid w:val="007A3319"/>
    <w:rsid w:val="007A3550"/>
    <w:rsid w:val="007A38DA"/>
    <w:rsid w:val="007A3970"/>
    <w:rsid w:val="007A3CE5"/>
    <w:rsid w:val="007A3D2B"/>
    <w:rsid w:val="007A3E8A"/>
    <w:rsid w:val="007A4010"/>
    <w:rsid w:val="007A42C7"/>
    <w:rsid w:val="007A47A1"/>
    <w:rsid w:val="007A49E4"/>
    <w:rsid w:val="007A4B3D"/>
    <w:rsid w:val="007A4E5E"/>
    <w:rsid w:val="007A4EB4"/>
    <w:rsid w:val="007A4EE9"/>
    <w:rsid w:val="007A529D"/>
    <w:rsid w:val="007A566E"/>
    <w:rsid w:val="007A58EE"/>
    <w:rsid w:val="007A5967"/>
    <w:rsid w:val="007A5D27"/>
    <w:rsid w:val="007A6394"/>
    <w:rsid w:val="007A6640"/>
    <w:rsid w:val="007A706E"/>
    <w:rsid w:val="007A714D"/>
    <w:rsid w:val="007A72F0"/>
    <w:rsid w:val="007A74DA"/>
    <w:rsid w:val="007A753C"/>
    <w:rsid w:val="007A7567"/>
    <w:rsid w:val="007A7CD2"/>
    <w:rsid w:val="007A7FB3"/>
    <w:rsid w:val="007B0099"/>
    <w:rsid w:val="007B0160"/>
    <w:rsid w:val="007B03D9"/>
    <w:rsid w:val="007B05B7"/>
    <w:rsid w:val="007B0606"/>
    <w:rsid w:val="007B0C75"/>
    <w:rsid w:val="007B0F07"/>
    <w:rsid w:val="007B15EE"/>
    <w:rsid w:val="007B169A"/>
    <w:rsid w:val="007B19A3"/>
    <w:rsid w:val="007B2175"/>
    <w:rsid w:val="007B2600"/>
    <w:rsid w:val="007B2B7A"/>
    <w:rsid w:val="007B2F0B"/>
    <w:rsid w:val="007B362E"/>
    <w:rsid w:val="007B3AFF"/>
    <w:rsid w:val="007B401B"/>
    <w:rsid w:val="007B408D"/>
    <w:rsid w:val="007B436E"/>
    <w:rsid w:val="007B4BD7"/>
    <w:rsid w:val="007B51CA"/>
    <w:rsid w:val="007B53EC"/>
    <w:rsid w:val="007B585B"/>
    <w:rsid w:val="007B5A41"/>
    <w:rsid w:val="007B5CE4"/>
    <w:rsid w:val="007B5DCE"/>
    <w:rsid w:val="007B64AF"/>
    <w:rsid w:val="007B64D0"/>
    <w:rsid w:val="007B64E5"/>
    <w:rsid w:val="007B65C9"/>
    <w:rsid w:val="007B6851"/>
    <w:rsid w:val="007B68F0"/>
    <w:rsid w:val="007B6AEC"/>
    <w:rsid w:val="007B6C56"/>
    <w:rsid w:val="007B6E83"/>
    <w:rsid w:val="007B7116"/>
    <w:rsid w:val="007B79C2"/>
    <w:rsid w:val="007B7D9B"/>
    <w:rsid w:val="007B7F2A"/>
    <w:rsid w:val="007C0268"/>
    <w:rsid w:val="007C0737"/>
    <w:rsid w:val="007C0831"/>
    <w:rsid w:val="007C0901"/>
    <w:rsid w:val="007C0B93"/>
    <w:rsid w:val="007C0C2E"/>
    <w:rsid w:val="007C0ECB"/>
    <w:rsid w:val="007C0EE1"/>
    <w:rsid w:val="007C0F41"/>
    <w:rsid w:val="007C105D"/>
    <w:rsid w:val="007C1192"/>
    <w:rsid w:val="007C11EC"/>
    <w:rsid w:val="007C1417"/>
    <w:rsid w:val="007C18A4"/>
    <w:rsid w:val="007C190A"/>
    <w:rsid w:val="007C1D57"/>
    <w:rsid w:val="007C2031"/>
    <w:rsid w:val="007C20AF"/>
    <w:rsid w:val="007C22C8"/>
    <w:rsid w:val="007C255D"/>
    <w:rsid w:val="007C2A65"/>
    <w:rsid w:val="007C371B"/>
    <w:rsid w:val="007C38F4"/>
    <w:rsid w:val="007C393B"/>
    <w:rsid w:val="007C3C2A"/>
    <w:rsid w:val="007C3E4E"/>
    <w:rsid w:val="007C415B"/>
    <w:rsid w:val="007C4394"/>
    <w:rsid w:val="007C44E2"/>
    <w:rsid w:val="007C4558"/>
    <w:rsid w:val="007C4600"/>
    <w:rsid w:val="007C4BAB"/>
    <w:rsid w:val="007C4E20"/>
    <w:rsid w:val="007C5427"/>
    <w:rsid w:val="007C597E"/>
    <w:rsid w:val="007C5A59"/>
    <w:rsid w:val="007C5C0F"/>
    <w:rsid w:val="007C60B7"/>
    <w:rsid w:val="007C6357"/>
    <w:rsid w:val="007C6C43"/>
    <w:rsid w:val="007C6FC5"/>
    <w:rsid w:val="007C729A"/>
    <w:rsid w:val="007C72B8"/>
    <w:rsid w:val="007C7344"/>
    <w:rsid w:val="007C78ED"/>
    <w:rsid w:val="007C7A8B"/>
    <w:rsid w:val="007C7E50"/>
    <w:rsid w:val="007D030C"/>
    <w:rsid w:val="007D0461"/>
    <w:rsid w:val="007D0D61"/>
    <w:rsid w:val="007D0DA7"/>
    <w:rsid w:val="007D11C5"/>
    <w:rsid w:val="007D1579"/>
    <w:rsid w:val="007D1D6B"/>
    <w:rsid w:val="007D22B0"/>
    <w:rsid w:val="007D22BC"/>
    <w:rsid w:val="007D26D7"/>
    <w:rsid w:val="007D3227"/>
    <w:rsid w:val="007D348E"/>
    <w:rsid w:val="007D3719"/>
    <w:rsid w:val="007D3A3F"/>
    <w:rsid w:val="007D3C8F"/>
    <w:rsid w:val="007D3D3E"/>
    <w:rsid w:val="007D3D6F"/>
    <w:rsid w:val="007D3D9D"/>
    <w:rsid w:val="007D41AD"/>
    <w:rsid w:val="007D41DC"/>
    <w:rsid w:val="007D422C"/>
    <w:rsid w:val="007D4569"/>
    <w:rsid w:val="007D4B85"/>
    <w:rsid w:val="007D4BB0"/>
    <w:rsid w:val="007D4C45"/>
    <w:rsid w:val="007D4E4E"/>
    <w:rsid w:val="007D51D3"/>
    <w:rsid w:val="007D5BC0"/>
    <w:rsid w:val="007D5CE8"/>
    <w:rsid w:val="007D5DE3"/>
    <w:rsid w:val="007D60B7"/>
    <w:rsid w:val="007D61CF"/>
    <w:rsid w:val="007D65E7"/>
    <w:rsid w:val="007D6B0B"/>
    <w:rsid w:val="007D6E10"/>
    <w:rsid w:val="007D6ECD"/>
    <w:rsid w:val="007D6ECF"/>
    <w:rsid w:val="007D706D"/>
    <w:rsid w:val="007D7183"/>
    <w:rsid w:val="007D7536"/>
    <w:rsid w:val="007D7919"/>
    <w:rsid w:val="007D7E29"/>
    <w:rsid w:val="007E0263"/>
    <w:rsid w:val="007E026B"/>
    <w:rsid w:val="007E089C"/>
    <w:rsid w:val="007E0B84"/>
    <w:rsid w:val="007E0C0C"/>
    <w:rsid w:val="007E0FE2"/>
    <w:rsid w:val="007E1386"/>
    <w:rsid w:val="007E1413"/>
    <w:rsid w:val="007E1891"/>
    <w:rsid w:val="007E1907"/>
    <w:rsid w:val="007E1AC1"/>
    <w:rsid w:val="007E1B81"/>
    <w:rsid w:val="007E1DD8"/>
    <w:rsid w:val="007E2042"/>
    <w:rsid w:val="007E20FF"/>
    <w:rsid w:val="007E2720"/>
    <w:rsid w:val="007E2988"/>
    <w:rsid w:val="007E2B82"/>
    <w:rsid w:val="007E2C02"/>
    <w:rsid w:val="007E3218"/>
    <w:rsid w:val="007E357E"/>
    <w:rsid w:val="007E3A00"/>
    <w:rsid w:val="007E3B7A"/>
    <w:rsid w:val="007E3ED3"/>
    <w:rsid w:val="007E410C"/>
    <w:rsid w:val="007E4612"/>
    <w:rsid w:val="007E4624"/>
    <w:rsid w:val="007E486B"/>
    <w:rsid w:val="007E4B4A"/>
    <w:rsid w:val="007E4B7A"/>
    <w:rsid w:val="007E5027"/>
    <w:rsid w:val="007E527D"/>
    <w:rsid w:val="007E52C8"/>
    <w:rsid w:val="007E55E1"/>
    <w:rsid w:val="007E567C"/>
    <w:rsid w:val="007E5B70"/>
    <w:rsid w:val="007E5C5B"/>
    <w:rsid w:val="007E5F29"/>
    <w:rsid w:val="007E621C"/>
    <w:rsid w:val="007E6388"/>
    <w:rsid w:val="007E645A"/>
    <w:rsid w:val="007E673C"/>
    <w:rsid w:val="007E75D5"/>
    <w:rsid w:val="007E75F4"/>
    <w:rsid w:val="007E7CFB"/>
    <w:rsid w:val="007E7D12"/>
    <w:rsid w:val="007E7EAB"/>
    <w:rsid w:val="007F0006"/>
    <w:rsid w:val="007F01CB"/>
    <w:rsid w:val="007F07A0"/>
    <w:rsid w:val="007F08DA"/>
    <w:rsid w:val="007F08E2"/>
    <w:rsid w:val="007F097D"/>
    <w:rsid w:val="007F0BF8"/>
    <w:rsid w:val="007F1290"/>
    <w:rsid w:val="007F1896"/>
    <w:rsid w:val="007F1A12"/>
    <w:rsid w:val="007F215F"/>
    <w:rsid w:val="007F27A6"/>
    <w:rsid w:val="007F2D65"/>
    <w:rsid w:val="007F2F4C"/>
    <w:rsid w:val="007F31A3"/>
    <w:rsid w:val="007F3262"/>
    <w:rsid w:val="007F342A"/>
    <w:rsid w:val="007F35E3"/>
    <w:rsid w:val="007F36DE"/>
    <w:rsid w:val="007F3A4E"/>
    <w:rsid w:val="007F3C91"/>
    <w:rsid w:val="007F3D5B"/>
    <w:rsid w:val="007F3F01"/>
    <w:rsid w:val="007F4004"/>
    <w:rsid w:val="007F4924"/>
    <w:rsid w:val="007F5017"/>
    <w:rsid w:val="007F54E6"/>
    <w:rsid w:val="007F5501"/>
    <w:rsid w:val="007F5554"/>
    <w:rsid w:val="007F5610"/>
    <w:rsid w:val="007F56C4"/>
    <w:rsid w:val="007F56E8"/>
    <w:rsid w:val="007F5858"/>
    <w:rsid w:val="007F5F43"/>
    <w:rsid w:val="007F6153"/>
    <w:rsid w:val="007F6946"/>
    <w:rsid w:val="007F6BA6"/>
    <w:rsid w:val="007F6DA2"/>
    <w:rsid w:val="007F6DA5"/>
    <w:rsid w:val="007F6EA6"/>
    <w:rsid w:val="007F6FCC"/>
    <w:rsid w:val="007F7500"/>
    <w:rsid w:val="007F7A22"/>
    <w:rsid w:val="007F7F86"/>
    <w:rsid w:val="00800513"/>
    <w:rsid w:val="008006B7"/>
    <w:rsid w:val="0080081A"/>
    <w:rsid w:val="00800E0A"/>
    <w:rsid w:val="00800E13"/>
    <w:rsid w:val="0080102E"/>
    <w:rsid w:val="00801179"/>
    <w:rsid w:val="008016E5"/>
    <w:rsid w:val="008023CB"/>
    <w:rsid w:val="008025F5"/>
    <w:rsid w:val="00802735"/>
    <w:rsid w:val="008029EB"/>
    <w:rsid w:val="00802A57"/>
    <w:rsid w:val="00802C03"/>
    <w:rsid w:val="00802DE9"/>
    <w:rsid w:val="00803093"/>
    <w:rsid w:val="00803104"/>
    <w:rsid w:val="0080334F"/>
    <w:rsid w:val="0080341E"/>
    <w:rsid w:val="0080364D"/>
    <w:rsid w:val="00803841"/>
    <w:rsid w:val="00803A73"/>
    <w:rsid w:val="00803B33"/>
    <w:rsid w:val="00803C7A"/>
    <w:rsid w:val="00803F27"/>
    <w:rsid w:val="00804381"/>
    <w:rsid w:val="008045DB"/>
    <w:rsid w:val="0080468D"/>
    <w:rsid w:val="00804743"/>
    <w:rsid w:val="0080492C"/>
    <w:rsid w:val="008049AD"/>
    <w:rsid w:val="00804F1D"/>
    <w:rsid w:val="0080510B"/>
    <w:rsid w:val="00805322"/>
    <w:rsid w:val="0080570C"/>
    <w:rsid w:val="0080599A"/>
    <w:rsid w:val="00805E3D"/>
    <w:rsid w:val="008069A4"/>
    <w:rsid w:val="00806A82"/>
    <w:rsid w:val="00806E15"/>
    <w:rsid w:val="008071AF"/>
    <w:rsid w:val="008074B6"/>
    <w:rsid w:val="00807707"/>
    <w:rsid w:val="008077F7"/>
    <w:rsid w:val="0080783E"/>
    <w:rsid w:val="00807D9F"/>
    <w:rsid w:val="0081013F"/>
    <w:rsid w:val="008106FA"/>
    <w:rsid w:val="008109A3"/>
    <w:rsid w:val="00811092"/>
    <w:rsid w:val="008119A9"/>
    <w:rsid w:val="00811ADB"/>
    <w:rsid w:val="00811F82"/>
    <w:rsid w:val="00812A33"/>
    <w:rsid w:val="00812DD9"/>
    <w:rsid w:val="00812F2F"/>
    <w:rsid w:val="008130AF"/>
    <w:rsid w:val="008133D5"/>
    <w:rsid w:val="0081398E"/>
    <w:rsid w:val="00813B53"/>
    <w:rsid w:val="00813E43"/>
    <w:rsid w:val="00813FA7"/>
    <w:rsid w:val="00813FDC"/>
    <w:rsid w:val="00814683"/>
    <w:rsid w:val="008147EB"/>
    <w:rsid w:val="00814A2E"/>
    <w:rsid w:val="00814A78"/>
    <w:rsid w:val="00814B1B"/>
    <w:rsid w:val="00814B49"/>
    <w:rsid w:val="00814ECD"/>
    <w:rsid w:val="00814FD9"/>
    <w:rsid w:val="00815507"/>
    <w:rsid w:val="00815561"/>
    <w:rsid w:val="008157AA"/>
    <w:rsid w:val="00815ADE"/>
    <w:rsid w:val="00815C2F"/>
    <w:rsid w:val="00815C34"/>
    <w:rsid w:val="008160C9"/>
    <w:rsid w:val="008164F4"/>
    <w:rsid w:val="0081703E"/>
    <w:rsid w:val="00817141"/>
    <w:rsid w:val="00817C8A"/>
    <w:rsid w:val="00817D59"/>
    <w:rsid w:val="008203F3"/>
    <w:rsid w:val="00820722"/>
    <w:rsid w:val="0082095A"/>
    <w:rsid w:val="00820B11"/>
    <w:rsid w:val="00820F54"/>
    <w:rsid w:val="008211BA"/>
    <w:rsid w:val="008215C1"/>
    <w:rsid w:val="00821987"/>
    <w:rsid w:val="008219D6"/>
    <w:rsid w:val="00821A28"/>
    <w:rsid w:val="00821E44"/>
    <w:rsid w:val="0082236E"/>
    <w:rsid w:val="008223D3"/>
    <w:rsid w:val="008225E7"/>
    <w:rsid w:val="008229CF"/>
    <w:rsid w:val="008229F7"/>
    <w:rsid w:val="00822B0D"/>
    <w:rsid w:val="008230DD"/>
    <w:rsid w:val="0082319D"/>
    <w:rsid w:val="00824059"/>
    <w:rsid w:val="008245F0"/>
    <w:rsid w:val="0082478F"/>
    <w:rsid w:val="0082487E"/>
    <w:rsid w:val="00824B59"/>
    <w:rsid w:val="00824BE9"/>
    <w:rsid w:val="00824CAA"/>
    <w:rsid w:val="00824F9D"/>
    <w:rsid w:val="0082504D"/>
    <w:rsid w:val="00825275"/>
    <w:rsid w:val="008253B9"/>
    <w:rsid w:val="0082554B"/>
    <w:rsid w:val="0082575E"/>
    <w:rsid w:val="00825C05"/>
    <w:rsid w:val="00825D00"/>
    <w:rsid w:val="00825D3B"/>
    <w:rsid w:val="00825D44"/>
    <w:rsid w:val="00825DCA"/>
    <w:rsid w:val="00825F7B"/>
    <w:rsid w:val="00825F9E"/>
    <w:rsid w:val="0082697E"/>
    <w:rsid w:val="00826E7C"/>
    <w:rsid w:val="00827070"/>
    <w:rsid w:val="008270A9"/>
    <w:rsid w:val="00827648"/>
    <w:rsid w:val="00830529"/>
    <w:rsid w:val="0083116C"/>
    <w:rsid w:val="008316B3"/>
    <w:rsid w:val="00832083"/>
    <w:rsid w:val="00832851"/>
    <w:rsid w:val="00832C79"/>
    <w:rsid w:val="00833271"/>
    <w:rsid w:val="00833382"/>
    <w:rsid w:val="00833765"/>
    <w:rsid w:val="00833869"/>
    <w:rsid w:val="00833AB6"/>
    <w:rsid w:val="0083443C"/>
    <w:rsid w:val="0083465A"/>
    <w:rsid w:val="00834685"/>
    <w:rsid w:val="0083472D"/>
    <w:rsid w:val="00834E4C"/>
    <w:rsid w:val="008351C5"/>
    <w:rsid w:val="008354C6"/>
    <w:rsid w:val="00835851"/>
    <w:rsid w:val="00835E07"/>
    <w:rsid w:val="00835E2B"/>
    <w:rsid w:val="00835EC5"/>
    <w:rsid w:val="00836A92"/>
    <w:rsid w:val="00837723"/>
    <w:rsid w:val="00837728"/>
    <w:rsid w:val="00837AAC"/>
    <w:rsid w:val="00837DF3"/>
    <w:rsid w:val="008404B5"/>
    <w:rsid w:val="00840AB6"/>
    <w:rsid w:val="00840B92"/>
    <w:rsid w:val="00840C6D"/>
    <w:rsid w:val="008412F1"/>
    <w:rsid w:val="00841382"/>
    <w:rsid w:val="008414A9"/>
    <w:rsid w:val="008416AF"/>
    <w:rsid w:val="008416FD"/>
    <w:rsid w:val="008418CE"/>
    <w:rsid w:val="00841AC1"/>
    <w:rsid w:val="00841F9A"/>
    <w:rsid w:val="008423A3"/>
    <w:rsid w:val="00842568"/>
    <w:rsid w:val="0084277B"/>
    <w:rsid w:val="0084283E"/>
    <w:rsid w:val="00842BFD"/>
    <w:rsid w:val="00842EA9"/>
    <w:rsid w:val="0084313A"/>
    <w:rsid w:val="0084329B"/>
    <w:rsid w:val="00843367"/>
    <w:rsid w:val="008436A5"/>
    <w:rsid w:val="00843E90"/>
    <w:rsid w:val="00843EAA"/>
    <w:rsid w:val="00844245"/>
    <w:rsid w:val="0084457A"/>
    <w:rsid w:val="00844703"/>
    <w:rsid w:val="00844A17"/>
    <w:rsid w:val="00844E32"/>
    <w:rsid w:val="00844F9C"/>
    <w:rsid w:val="008451A7"/>
    <w:rsid w:val="00845291"/>
    <w:rsid w:val="008453B3"/>
    <w:rsid w:val="008453EE"/>
    <w:rsid w:val="00845465"/>
    <w:rsid w:val="008457B3"/>
    <w:rsid w:val="00845877"/>
    <w:rsid w:val="00845931"/>
    <w:rsid w:val="00845AD7"/>
    <w:rsid w:val="00845C0C"/>
    <w:rsid w:val="00845D61"/>
    <w:rsid w:val="008463C4"/>
    <w:rsid w:val="008464EE"/>
    <w:rsid w:val="00846541"/>
    <w:rsid w:val="00846662"/>
    <w:rsid w:val="00846845"/>
    <w:rsid w:val="008468B0"/>
    <w:rsid w:val="008468F1"/>
    <w:rsid w:val="00846F1E"/>
    <w:rsid w:val="00846FEB"/>
    <w:rsid w:val="00847006"/>
    <w:rsid w:val="00847130"/>
    <w:rsid w:val="00847332"/>
    <w:rsid w:val="008473B2"/>
    <w:rsid w:val="00847513"/>
    <w:rsid w:val="008478F6"/>
    <w:rsid w:val="00847C6C"/>
    <w:rsid w:val="008500F0"/>
    <w:rsid w:val="008505F5"/>
    <w:rsid w:val="008506F9"/>
    <w:rsid w:val="00850AB5"/>
    <w:rsid w:val="008512EC"/>
    <w:rsid w:val="0085190B"/>
    <w:rsid w:val="00851A04"/>
    <w:rsid w:val="00851A16"/>
    <w:rsid w:val="00851E71"/>
    <w:rsid w:val="008525B3"/>
    <w:rsid w:val="00852C1F"/>
    <w:rsid w:val="00853564"/>
    <w:rsid w:val="00853596"/>
    <w:rsid w:val="00854021"/>
    <w:rsid w:val="008542D1"/>
    <w:rsid w:val="00854371"/>
    <w:rsid w:val="008552A9"/>
    <w:rsid w:val="00855508"/>
    <w:rsid w:val="00855B95"/>
    <w:rsid w:val="00855D95"/>
    <w:rsid w:val="00855EF2"/>
    <w:rsid w:val="00856919"/>
    <w:rsid w:val="008569C0"/>
    <w:rsid w:val="008571F1"/>
    <w:rsid w:val="00857208"/>
    <w:rsid w:val="0085789F"/>
    <w:rsid w:val="00857988"/>
    <w:rsid w:val="00857A56"/>
    <w:rsid w:val="00857B95"/>
    <w:rsid w:val="00857E59"/>
    <w:rsid w:val="00857EEA"/>
    <w:rsid w:val="00857FE7"/>
    <w:rsid w:val="008602A8"/>
    <w:rsid w:val="00860A03"/>
    <w:rsid w:val="00860B02"/>
    <w:rsid w:val="00860E13"/>
    <w:rsid w:val="00860F21"/>
    <w:rsid w:val="00861F2C"/>
    <w:rsid w:val="008627B4"/>
    <w:rsid w:val="00862887"/>
    <w:rsid w:val="00862998"/>
    <w:rsid w:val="00862B1B"/>
    <w:rsid w:val="00862B5D"/>
    <w:rsid w:val="00862BAC"/>
    <w:rsid w:val="00862BD0"/>
    <w:rsid w:val="00862D49"/>
    <w:rsid w:val="00862DDE"/>
    <w:rsid w:val="00863A33"/>
    <w:rsid w:val="00863C07"/>
    <w:rsid w:val="00863C26"/>
    <w:rsid w:val="00863C86"/>
    <w:rsid w:val="00863DF1"/>
    <w:rsid w:val="00863E72"/>
    <w:rsid w:val="00863F48"/>
    <w:rsid w:val="00864338"/>
    <w:rsid w:val="0086448A"/>
    <w:rsid w:val="00864928"/>
    <w:rsid w:val="0086511A"/>
    <w:rsid w:val="00865FCB"/>
    <w:rsid w:val="008662A3"/>
    <w:rsid w:val="0086654B"/>
    <w:rsid w:val="00866EAE"/>
    <w:rsid w:val="0086775E"/>
    <w:rsid w:val="00867C9F"/>
    <w:rsid w:val="00867D97"/>
    <w:rsid w:val="00867DD3"/>
    <w:rsid w:val="008703B4"/>
    <w:rsid w:val="00870606"/>
    <w:rsid w:val="00870779"/>
    <w:rsid w:val="008707FA"/>
    <w:rsid w:val="00870816"/>
    <w:rsid w:val="0087089C"/>
    <w:rsid w:val="00870C9D"/>
    <w:rsid w:val="00871554"/>
    <w:rsid w:val="00871A42"/>
    <w:rsid w:val="00871AEB"/>
    <w:rsid w:val="00871C4A"/>
    <w:rsid w:val="00871CE3"/>
    <w:rsid w:val="00871D4D"/>
    <w:rsid w:val="00871F91"/>
    <w:rsid w:val="008725EE"/>
    <w:rsid w:val="008727C6"/>
    <w:rsid w:val="008729B7"/>
    <w:rsid w:val="00872A23"/>
    <w:rsid w:val="0087396B"/>
    <w:rsid w:val="00873C66"/>
    <w:rsid w:val="00873F21"/>
    <w:rsid w:val="00874231"/>
    <w:rsid w:val="00874517"/>
    <w:rsid w:val="00874807"/>
    <w:rsid w:val="00874834"/>
    <w:rsid w:val="00874B1B"/>
    <w:rsid w:val="00874B80"/>
    <w:rsid w:val="00875431"/>
    <w:rsid w:val="0087599B"/>
    <w:rsid w:val="00875BC7"/>
    <w:rsid w:val="00875D4D"/>
    <w:rsid w:val="00875E83"/>
    <w:rsid w:val="00876153"/>
    <w:rsid w:val="0087648D"/>
    <w:rsid w:val="00876D0E"/>
    <w:rsid w:val="00876EDE"/>
    <w:rsid w:val="008771E2"/>
    <w:rsid w:val="0087762A"/>
    <w:rsid w:val="0087762D"/>
    <w:rsid w:val="008803BF"/>
    <w:rsid w:val="00880480"/>
    <w:rsid w:val="0088067C"/>
    <w:rsid w:val="0088089A"/>
    <w:rsid w:val="00880B4F"/>
    <w:rsid w:val="00880C3A"/>
    <w:rsid w:val="00880E34"/>
    <w:rsid w:val="00880F35"/>
    <w:rsid w:val="00881351"/>
    <w:rsid w:val="00881523"/>
    <w:rsid w:val="00881FC1"/>
    <w:rsid w:val="00882506"/>
    <w:rsid w:val="00882765"/>
    <w:rsid w:val="008827B1"/>
    <w:rsid w:val="00882F9E"/>
    <w:rsid w:val="00883045"/>
    <w:rsid w:val="0088310F"/>
    <w:rsid w:val="00883229"/>
    <w:rsid w:val="008835E9"/>
    <w:rsid w:val="00883696"/>
    <w:rsid w:val="0088392B"/>
    <w:rsid w:val="00883C9D"/>
    <w:rsid w:val="00883FB4"/>
    <w:rsid w:val="00884062"/>
    <w:rsid w:val="0088478C"/>
    <w:rsid w:val="008847D2"/>
    <w:rsid w:val="00884934"/>
    <w:rsid w:val="00884D22"/>
    <w:rsid w:val="00884ED6"/>
    <w:rsid w:val="00884EF9"/>
    <w:rsid w:val="00884F35"/>
    <w:rsid w:val="00884F6A"/>
    <w:rsid w:val="008852B2"/>
    <w:rsid w:val="00885A82"/>
    <w:rsid w:val="00885BCE"/>
    <w:rsid w:val="00886108"/>
    <w:rsid w:val="008866C5"/>
    <w:rsid w:val="0088679C"/>
    <w:rsid w:val="00886929"/>
    <w:rsid w:val="00886B1F"/>
    <w:rsid w:val="00886C88"/>
    <w:rsid w:val="00886D06"/>
    <w:rsid w:val="00886DA3"/>
    <w:rsid w:val="00886F38"/>
    <w:rsid w:val="008870AE"/>
    <w:rsid w:val="00887148"/>
    <w:rsid w:val="00887506"/>
    <w:rsid w:val="00887C25"/>
    <w:rsid w:val="00890830"/>
    <w:rsid w:val="0089093E"/>
    <w:rsid w:val="00890B96"/>
    <w:rsid w:val="00890BA7"/>
    <w:rsid w:val="00890D7C"/>
    <w:rsid w:val="00891693"/>
    <w:rsid w:val="00891DEB"/>
    <w:rsid w:val="00891F09"/>
    <w:rsid w:val="00892124"/>
    <w:rsid w:val="008922EC"/>
    <w:rsid w:val="00892A51"/>
    <w:rsid w:val="00892CB2"/>
    <w:rsid w:val="00892F06"/>
    <w:rsid w:val="00892F45"/>
    <w:rsid w:val="00893287"/>
    <w:rsid w:val="00893367"/>
    <w:rsid w:val="00893B22"/>
    <w:rsid w:val="00893B65"/>
    <w:rsid w:val="00893EA1"/>
    <w:rsid w:val="00894005"/>
    <w:rsid w:val="0089421F"/>
    <w:rsid w:val="008943A7"/>
    <w:rsid w:val="008946FF"/>
    <w:rsid w:val="00894CB4"/>
    <w:rsid w:val="008951F7"/>
    <w:rsid w:val="008959C2"/>
    <w:rsid w:val="00895D09"/>
    <w:rsid w:val="00896303"/>
    <w:rsid w:val="0089633D"/>
    <w:rsid w:val="008967A7"/>
    <w:rsid w:val="008967E1"/>
    <w:rsid w:val="00896E0C"/>
    <w:rsid w:val="00896E43"/>
    <w:rsid w:val="00896E77"/>
    <w:rsid w:val="00896F9C"/>
    <w:rsid w:val="00897277"/>
    <w:rsid w:val="00897547"/>
    <w:rsid w:val="00897571"/>
    <w:rsid w:val="00897656"/>
    <w:rsid w:val="008976D5"/>
    <w:rsid w:val="008977B7"/>
    <w:rsid w:val="00897956"/>
    <w:rsid w:val="00897B94"/>
    <w:rsid w:val="00897F2D"/>
    <w:rsid w:val="008A0279"/>
    <w:rsid w:val="008A0508"/>
    <w:rsid w:val="008A0622"/>
    <w:rsid w:val="008A0BF1"/>
    <w:rsid w:val="008A0E0C"/>
    <w:rsid w:val="008A0E17"/>
    <w:rsid w:val="008A0ECA"/>
    <w:rsid w:val="008A14B6"/>
    <w:rsid w:val="008A1B10"/>
    <w:rsid w:val="008A1C1B"/>
    <w:rsid w:val="008A1E0A"/>
    <w:rsid w:val="008A2159"/>
    <w:rsid w:val="008A2D6D"/>
    <w:rsid w:val="008A2F14"/>
    <w:rsid w:val="008A2F67"/>
    <w:rsid w:val="008A303F"/>
    <w:rsid w:val="008A342B"/>
    <w:rsid w:val="008A383D"/>
    <w:rsid w:val="008A3B43"/>
    <w:rsid w:val="008A3C84"/>
    <w:rsid w:val="008A3F02"/>
    <w:rsid w:val="008A3F0D"/>
    <w:rsid w:val="008A418E"/>
    <w:rsid w:val="008A4486"/>
    <w:rsid w:val="008A44BA"/>
    <w:rsid w:val="008A4785"/>
    <w:rsid w:val="008A4A28"/>
    <w:rsid w:val="008A4B5B"/>
    <w:rsid w:val="008A4FBD"/>
    <w:rsid w:val="008A5231"/>
    <w:rsid w:val="008A5305"/>
    <w:rsid w:val="008A5562"/>
    <w:rsid w:val="008A56F6"/>
    <w:rsid w:val="008A5B1F"/>
    <w:rsid w:val="008A6A27"/>
    <w:rsid w:val="008A6AFA"/>
    <w:rsid w:val="008A6CEC"/>
    <w:rsid w:val="008A760F"/>
    <w:rsid w:val="008A7798"/>
    <w:rsid w:val="008A7815"/>
    <w:rsid w:val="008A7BD8"/>
    <w:rsid w:val="008A7D2D"/>
    <w:rsid w:val="008A7F68"/>
    <w:rsid w:val="008B0012"/>
    <w:rsid w:val="008B05E8"/>
    <w:rsid w:val="008B0675"/>
    <w:rsid w:val="008B0B51"/>
    <w:rsid w:val="008B0D1D"/>
    <w:rsid w:val="008B0F63"/>
    <w:rsid w:val="008B1021"/>
    <w:rsid w:val="008B10F9"/>
    <w:rsid w:val="008B1296"/>
    <w:rsid w:val="008B12E9"/>
    <w:rsid w:val="008B14CD"/>
    <w:rsid w:val="008B164F"/>
    <w:rsid w:val="008B19BE"/>
    <w:rsid w:val="008B1BFF"/>
    <w:rsid w:val="008B1F92"/>
    <w:rsid w:val="008B202F"/>
    <w:rsid w:val="008B2063"/>
    <w:rsid w:val="008B218B"/>
    <w:rsid w:val="008B2196"/>
    <w:rsid w:val="008B23FE"/>
    <w:rsid w:val="008B2BF2"/>
    <w:rsid w:val="008B2CCA"/>
    <w:rsid w:val="008B2DC3"/>
    <w:rsid w:val="008B2EAF"/>
    <w:rsid w:val="008B2F2C"/>
    <w:rsid w:val="008B2FA7"/>
    <w:rsid w:val="008B319F"/>
    <w:rsid w:val="008B3215"/>
    <w:rsid w:val="008B327C"/>
    <w:rsid w:val="008B34DC"/>
    <w:rsid w:val="008B34FC"/>
    <w:rsid w:val="008B3531"/>
    <w:rsid w:val="008B3800"/>
    <w:rsid w:val="008B387F"/>
    <w:rsid w:val="008B3C31"/>
    <w:rsid w:val="008B3CA3"/>
    <w:rsid w:val="008B3FB1"/>
    <w:rsid w:val="008B404D"/>
    <w:rsid w:val="008B4250"/>
    <w:rsid w:val="008B45E5"/>
    <w:rsid w:val="008B50EE"/>
    <w:rsid w:val="008B5815"/>
    <w:rsid w:val="008B5A77"/>
    <w:rsid w:val="008B5CE4"/>
    <w:rsid w:val="008B5DF6"/>
    <w:rsid w:val="008B6326"/>
    <w:rsid w:val="008B6580"/>
    <w:rsid w:val="008B696A"/>
    <w:rsid w:val="008B6AF9"/>
    <w:rsid w:val="008B7032"/>
    <w:rsid w:val="008B73E7"/>
    <w:rsid w:val="008B7D32"/>
    <w:rsid w:val="008B7FB7"/>
    <w:rsid w:val="008C0134"/>
    <w:rsid w:val="008C0243"/>
    <w:rsid w:val="008C070D"/>
    <w:rsid w:val="008C0DFE"/>
    <w:rsid w:val="008C1330"/>
    <w:rsid w:val="008C14DB"/>
    <w:rsid w:val="008C15E9"/>
    <w:rsid w:val="008C1827"/>
    <w:rsid w:val="008C1F1B"/>
    <w:rsid w:val="008C1FCA"/>
    <w:rsid w:val="008C2C48"/>
    <w:rsid w:val="008C2EC0"/>
    <w:rsid w:val="008C3498"/>
    <w:rsid w:val="008C3FE8"/>
    <w:rsid w:val="008C401D"/>
    <w:rsid w:val="008C4223"/>
    <w:rsid w:val="008C42B2"/>
    <w:rsid w:val="008C43C4"/>
    <w:rsid w:val="008C4420"/>
    <w:rsid w:val="008C4D23"/>
    <w:rsid w:val="008C5272"/>
    <w:rsid w:val="008C54B4"/>
    <w:rsid w:val="008C55A0"/>
    <w:rsid w:val="008C5767"/>
    <w:rsid w:val="008C57F8"/>
    <w:rsid w:val="008C5C20"/>
    <w:rsid w:val="008C5C61"/>
    <w:rsid w:val="008C6356"/>
    <w:rsid w:val="008C639C"/>
    <w:rsid w:val="008C640D"/>
    <w:rsid w:val="008C6823"/>
    <w:rsid w:val="008C68E3"/>
    <w:rsid w:val="008C6AF9"/>
    <w:rsid w:val="008C6BBE"/>
    <w:rsid w:val="008C6EDD"/>
    <w:rsid w:val="008C7070"/>
    <w:rsid w:val="008C7244"/>
    <w:rsid w:val="008C7811"/>
    <w:rsid w:val="008C7871"/>
    <w:rsid w:val="008C79D6"/>
    <w:rsid w:val="008C7AB1"/>
    <w:rsid w:val="008D006A"/>
    <w:rsid w:val="008D01F8"/>
    <w:rsid w:val="008D07B9"/>
    <w:rsid w:val="008D08A8"/>
    <w:rsid w:val="008D0945"/>
    <w:rsid w:val="008D09D5"/>
    <w:rsid w:val="008D09F2"/>
    <w:rsid w:val="008D0DD3"/>
    <w:rsid w:val="008D0DF3"/>
    <w:rsid w:val="008D0EBE"/>
    <w:rsid w:val="008D0F9C"/>
    <w:rsid w:val="008D1662"/>
    <w:rsid w:val="008D1FA9"/>
    <w:rsid w:val="008D239E"/>
    <w:rsid w:val="008D274F"/>
    <w:rsid w:val="008D27C8"/>
    <w:rsid w:val="008D2A0B"/>
    <w:rsid w:val="008D2A62"/>
    <w:rsid w:val="008D2BFE"/>
    <w:rsid w:val="008D2EB5"/>
    <w:rsid w:val="008D3406"/>
    <w:rsid w:val="008D3BA3"/>
    <w:rsid w:val="008D4491"/>
    <w:rsid w:val="008D45EA"/>
    <w:rsid w:val="008D463E"/>
    <w:rsid w:val="008D48D0"/>
    <w:rsid w:val="008D4B5E"/>
    <w:rsid w:val="008D4F80"/>
    <w:rsid w:val="008D55D6"/>
    <w:rsid w:val="008D5AB5"/>
    <w:rsid w:val="008D5C58"/>
    <w:rsid w:val="008D5ECA"/>
    <w:rsid w:val="008D73BB"/>
    <w:rsid w:val="008D744D"/>
    <w:rsid w:val="008D791C"/>
    <w:rsid w:val="008D79E2"/>
    <w:rsid w:val="008D7BD9"/>
    <w:rsid w:val="008D7E96"/>
    <w:rsid w:val="008E0147"/>
    <w:rsid w:val="008E03BA"/>
    <w:rsid w:val="008E079C"/>
    <w:rsid w:val="008E116D"/>
    <w:rsid w:val="008E12EB"/>
    <w:rsid w:val="008E1447"/>
    <w:rsid w:val="008E1479"/>
    <w:rsid w:val="008E18D2"/>
    <w:rsid w:val="008E19A9"/>
    <w:rsid w:val="008E1E3B"/>
    <w:rsid w:val="008E2073"/>
    <w:rsid w:val="008E24BA"/>
    <w:rsid w:val="008E299E"/>
    <w:rsid w:val="008E2D21"/>
    <w:rsid w:val="008E2E61"/>
    <w:rsid w:val="008E31ED"/>
    <w:rsid w:val="008E32A2"/>
    <w:rsid w:val="008E3B64"/>
    <w:rsid w:val="008E4132"/>
    <w:rsid w:val="008E44F8"/>
    <w:rsid w:val="008E4817"/>
    <w:rsid w:val="008E5055"/>
    <w:rsid w:val="008E5171"/>
    <w:rsid w:val="008E58BB"/>
    <w:rsid w:val="008E59AA"/>
    <w:rsid w:val="008E5A37"/>
    <w:rsid w:val="008E5A5F"/>
    <w:rsid w:val="008E5BB0"/>
    <w:rsid w:val="008E5CD3"/>
    <w:rsid w:val="008E5D32"/>
    <w:rsid w:val="008E5E48"/>
    <w:rsid w:val="008E6028"/>
    <w:rsid w:val="008E624A"/>
    <w:rsid w:val="008E656D"/>
    <w:rsid w:val="008E6819"/>
    <w:rsid w:val="008E6B85"/>
    <w:rsid w:val="008E6B99"/>
    <w:rsid w:val="008E6BDB"/>
    <w:rsid w:val="008E6D47"/>
    <w:rsid w:val="008E7111"/>
    <w:rsid w:val="008E769F"/>
    <w:rsid w:val="008E76BC"/>
    <w:rsid w:val="008F0BE8"/>
    <w:rsid w:val="008F0D20"/>
    <w:rsid w:val="008F0D67"/>
    <w:rsid w:val="008F0ECE"/>
    <w:rsid w:val="008F1090"/>
    <w:rsid w:val="008F1470"/>
    <w:rsid w:val="008F19D2"/>
    <w:rsid w:val="008F1C5E"/>
    <w:rsid w:val="008F1CC2"/>
    <w:rsid w:val="008F2045"/>
    <w:rsid w:val="008F231C"/>
    <w:rsid w:val="008F27C8"/>
    <w:rsid w:val="008F28D7"/>
    <w:rsid w:val="008F2B30"/>
    <w:rsid w:val="008F34F7"/>
    <w:rsid w:val="008F3B80"/>
    <w:rsid w:val="008F3C7D"/>
    <w:rsid w:val="008F430D"/>
    <w:rsid w:val="008F4395"/>
    <w:rsid w:val="008F4A9B"/>
    <w:rsid w:val="008F4B53"/>
    <w:rsid w:val="008F4F94"/>
    <w:rsid w:val="008F4FCD"/>
    <w:rsid w:val="008F5B42"/>
    <w:rsid w:val="008F5C24"/>
    <w:rsid w:val="008F6243"/>
    <w:rsid w:val="008F64FF"/>
    <w:rsid w:val="008F65AE"/>
    <w:rsid w:val="008F66D7"/>
    <w:rsid w:val="008F69B5"/>
    <w:rsid w:val="008F6D6D"/>
    <w:rsid w:val="008F6DA4"/>
    <w:rsid w:val="008F70DB"/>
    <w:rsid w:val="008F713D"/>
    <w:rsid w:val="008F7164"/>
    <w:rsid w:val="008F7412"/>
    <w:rsid w:val="008F7B9F"/>
    <w:rsid w:val="008F7C1A"/>
    <w:rsid w:val="009000A4"/>
    <w:rsid w:val="0090037A"/>
    <w:rsid w:val="0090055A"/>
    <w:rsid w:val="00900B67"/>
    <w:rsid w:val="00900C34"/>
    <w:rsid w:val="00900F59"/>
    <w:rsid w:val="00901264"/>
    <w:rsid w:val="0090134F"/>
    <w:rsid w:val="00901548"/>
    <w:rsid w:val="009015FF"/>
    <w:rsid w:val="0090193E"/>
    <w:rsid w:val="00902031"/>
    <w:rsid w:val="009023F4"/>
    <w:rsid w:val="00902713"/>
    <w:rsid w:val="009027C6"/>
    <w:rsid w:val="00902D0B"/>
    <w:rsid w:val="00902EC9"/>
    <w:rsid w:val="00903086"/>
    <w:rsid w:val="00903220"/>
    <w:rsid w:val="00903274"/>
    <w:rsid w:val="00903B20"/>
    <w:rsid w:val="00903D0F"/>
    <w:rsid w:val="00903DE7"/>
    <w:rsid w:val="00904359"/>
    <w:rsid w:val="00904672"/>
    <w:rsid w:val="00904AB6"/>
    <w:rsid w:val="00904D3B"/>
    <w:rsid w:val="00904E49"/>
    <w:rsid w:val="009051E3"/>
    <w:rsid w:val="009053DE"/>
    <w:rsid w:val="0090561B"/>
    <w:rsid w:val="009059B5"/>
    <w:rsid w:val="00905BC9"/>
    <w:rsid w:val="00905F32"/>
    <w:rsid w:val="00905F4C"/>
    <w:rsid w:val="0090623C"/>
    <w:rsid w:val="0090646B"/>
    <w:rsid w:val="0090646C"/>
    <w:rsid w:val="009064B5"/>
    <w:rsid w:val="009064E6"/>
    <w:rsid w:val="0090678A"/>
    <w:rsid w:val="00906955"/>
    <w:rsid w:val="00906C18"/>
    <w:rsid w:val="00906C3B"/>
    <w:rsid w:val="00906D0E"/>
    <w:rsid w:val="00906E1A"/>
    <w:rsid w:val="00906E3D"/>
    <w:rsid w:val="00906F41"/>
    <w:rsid w:val="00906FCB"/>
    <w:rsid w:val="00907240"/>
    <w:rsid w:val="009079BF"/>
    <w:rsid w:val="00907B7B"/>
    <w:rsid w:val="009100FF"/>
    <w:rsid w:val="0091038B"/>
    <w:rsid w:val="009105DD"/>
    <w:rsid w:val="00910A66"/>
    <w:rsid w:val="00911F07"/>
    <w:rsid w:val="0091207D"/>
    <w:rsid w:val="009120A9"/>
    <w:rsid w:val="009121B7"/>
    <w:rsid w:val="00912401"/>
    <w:rsid w:val="009125EF"/>
    <w:rsid w:val="00912EE7"/>
    <w:rsid w:val="009133A3"/>
    <w:rsid w:val="00913487"/>
    <w:rsid w:val="00913B50"/>
    <w:rsid w:val="00913D39"/>
    <w:rsid w:val="009142E9"/>
    <w:rsid w:val="009144CB"/>
    <w:rsid w:val="009147AC"/>
    <w:rsid w:val="00914A79"/>
    <w:rsid w:val="00914BDD"/>
    <w:rsid w:val="00914F49"/>
    <w:rsid w:val="00915109"/>
    <w:rsid w:val="009159F3"/>
    <w:rsid w:val="00915CBE"/>
    <w:rsid w:val="009166CB"/>
    <w:rsid w:val="00916792"/>
    <w:rsid w:val="00916D7D"/>
    <w:rsid w:val="00916EBF"/>
    <w:rsid w:val="009173EF"/>
    <w:rsid w:val="0091771A"/>
    <w:rsid w:val="0091790F"/>
    <w:rsid w:val="00920820"/>
    <w:rsid w:val="00920E79"/>
    <w:rsid w:val="00920FD8"/>
    <w:rsid w:val="0092107B"/>
    <w:rsid w:val="0092112D"/>
    <w:rsid w:val="00921223"/>
    <w:rsid w:val="009212D9"/>
    <w:rsid w:val="009215C1"/>
    <w:rsid w:val="00921679"/>
    <w:rsid w:val="00921B1F"/>
    <w:rsid w:val="0092209D"/>
    <w:rsid w:val="00922137"/>
    <w:rsid w:val="00922E2F"/>
    <w:rsid w:val="00922F64"/>
    <w:rsid w:val="00923067"/>
    <w:rsid w:val="00923479"/>
    <w:rsid w:val="009236F7"/>
    <w:rsid w:val="009237B1"/>
    <w:rsid w:val="009237E0"/>
    <w:rsid w:val="0092393A"/>
    <w:rsid w:val="009241C5"/>
    <w:rsid w:val="00924BA4"/>
    <w:rsid w:val="009256B1"/>
    <w:rsid w:val="00925741"/>
    <w:rsid w:val="00925961"/>
    <w:rsid w:val="00925A56"/>
    <w:rsid w:val="00925B67"/>
    <w:rsid w:val="00925B8A"/>
    <w:rsid w:val="00925C96"/>
    <w:rsid w:val="00925D93"/>
    <w:rsid w:val="009266A5"/>
    <w:rsid w:val="00926742"/>
    <w:rsid w:val="00926BC4"/>
    <w:rsid w:val="00926DBF"/>
    <w:rsid w:val="0092769F"/>
    <w:rsid w:val="0092786C"/>
    <w:rsid w:val="0092793D"/>
    <w:rsid w:val="00927A83"/>
    <w:rsid w:val="00927C8A"/>
    <w:rsid w:val="00927E31"/>
    <w:rsid w:val="0093022A"/>
    <w:rsid w:val="00930408"/>
    <w:rsid w:val="00930D21"/>
    <w:rsid w:val="009310B8"/>
    <w:rsid w:val="00931449"/>
    <w:rsid w:val="00931E68"/>
    <w:rsid w:val="00931F17"/>
    <w:rsid w:val="00932204"/>
    <w:rsid w:val="009322C6"/>
    <w:rsid w:val="009335D5"/>
    <w:rsid w:val="0093362E"/>
    <w:rsid w:val="0093403E"/>
    <w:rsid w:val="009341EA"/>
    <w:rsid w:val="0093435B"/>
    <w:rsid w:val="009344EE"/>
    <w:rsid w:val="0093454A"/>
    <w:rsid w:val="00934563"/>
    <w:rsid w:val="00934761"/>
    <w:rsid w:val="009356E0"/>
    <w:rsid w:val="0093572A"/>
    <w:rsid w:val="009357CE"/>
    <w:rsid w:val="00935A27"/>
    <w:rsid w:val="009363E7"/>
    <w:rsid w:val="009367CC"/>
    <w:rsid w:val="00936B41"/>
    <w:rsid w:val="00936C0C"/>
    <w:rsid w:val="00936F0F"/>
    <w:rsid w:val="00937362"/>
    <w:rsid w:val="0093757F"/>
    <w:rsid w:val="00937B7F"/>
    <w:rsid w:val="00937BF9"/>
    <w:rsid w:val="00937D55"/>
    <w:rsid w:val="00937DAA"/>
    <w:rsid w:val="00937EE8"/>
    <w:rsid w:val="0094055F"/>
    <w:rsid w:val="00940571"/>
    <w:rsid w:val="00940BD2"/>
    <w:rsid w:val="00940F45"/>
    <w:rsid w:val="009410BF"/>
    <w:rsid w:val="00941609"/>
    <w:rsid w:val="00941CCA"/>
    <w:rsid w:val="00941CF6"/>
    <w:rsid w:val="009420FC"/>
    <w:rsid w:val="009424FA"/>
    <w:rsid w:val="009427F0"/>
    <w:rsid w:val="00942CC1"/>
    <w:rsid w:val="00942E10"/>
    <w:rsid w:val="00942EAC"/>
    <w:rsid w:val="00942ECC"/>
    <w:rsid w:val="00942EE8"/>
    <w:rsid w:val="00943013"/>
    <w:rsid w:val="00943232"/>
    <w:rsid w:val="00943445"/>
    <w:rsid w:val="00943650"/>
    <w:rsid w:val="009436BD"/>
    <w:rsid w:val="009437AE"/>
    <w:rsid w:val="00943878"/>
    <w:rsid w:val="009439BC"/>
    <w:rsid w:val="00943F22"/>
    <w:rsid w:val="009441FE"/>
    <w:rsid w:val="009442C6"/>
    <w:rsid w:val="009445EE"/>
    <w:rsid w:val="00944674"/>
    <w:rsid w:val="00944A43"/>
    <w:rsid w:val="00944D59"/>
    <w:rsid w:val="00944EEF"/>
    <w:rsid w:val="009452B0"/>
    <w:rsid w:val="00945368"/>
    <w:rsid w:val="00945378"/>
    <w:rsid w:val="00945B5F"/>
    <w:rsid w:val="00945CAA"/>
    <w:rsid w:val="00945D3D"/>
    <w:rsid w:val="00946526"/>
    <w:rsid w:val="00946582"/>
    <w:rsid w:val="009468B1"/>
    <w:rsid w:val="009468CD"/>
    <w:rsid w:val="00946919"/>
    <w:rsid w:val="00946F41"/>
    <w:rsid w:val="00946F59"/>
    <w:rsid w:val="0094705F"/>
    <w:rsid w:val="00947419"/>
    <w:rsid w:val="009474BB"/>
    <w:rsid w:val="00947748"/>
    <w:rsid w:val="00947DDE"/>
    <w:rsid w:val="00947EEB"/>
    <w:rsid w:val="009500D8"/>
    <w:rsid w:val="0095019E"/>
    <w:rsid w:val="009502A3"/>
    <w:rsid w:val="00950612"/>
    <w:rsid w:val="00950749"/>
    <w:rsid w:val="00950815"/>
    <w:rsid w:val="00950FB0"/>
    <w:rsid w:val="009512A4"/>
    <w:rsid w:val="0095135D"/>
    <w:rsid w:val="0095164F"/>
    <w:rsid w:val="00951B10"/>
    <w:rsid w:val="00951D40"/>
    <w:rsid w:val="00952C29"/>
    <w:rsid w:val="00952CB7"/>
    <w:rsid w:val="00952E0B"/>
    <w:rsid w:val="009530B0"/>
    <w:rsid w:val="009539F0"/>
    <w:rsid w:val="00953A42"/>
    <w:rsid w:val="00953D08"/>
    <w:rsid w:val="00953ED6"/>
    <w:rsid w:val="0095401C"/>
    <w:rsid w:val="00954295"/>
    <w:rsid w:val="00954438"/>
    <w:rsid w:val="0095445C"/>
    <w:rsid w:val="0095446A"/>
    <w:rsid w:val="0095451D"/>
    <w:rsid w:val="009545C2"/>
    <w:rsid w:val="00954840"/>
    <w:rsid w:val="00954887"/>
    <w:rsid w:val="00954893"/>
    <w:rsid w:val="00954B94"/>
    <w:rsid w:val="00954DD6"/>
    <w:rsid w:val="00955128"/>
    <w:rsid w:val="00955129"/>
    <w:rsid w:val="00955385"/>
    <w:rsid w:val="00955710"/>
    <w:rsid w:val="0095573E"/>
    <w:rsid w:val="00955AF9"/>
    <w:rsid w:val="00955D59"/>
    <w:rsid w:val="00955E6C"/>
    <w:rsid w:val="00956324"/>
    <w:rsid w:val="00956366"/>
    <w:rsid w:val="0095681D"/>
    <w:rsid w:val="009568BA"/>
    <w:rsid w:val="00956B79"/>
    <w:rsid w:val="00956D6C"/>
    <w:rsid w:val="009571B6"/>
    <w:rsid w:val="0095731B"/>
    <w:rsid w:val="0095748F"/>
    <w:rsid w:val="00957860"/>
    <w:rsid w:val="00957C10"/>
    <w:rsid w:val="00957C58"/>
    <w:rsid w:val="00957ED4"/>
    <w:rsid w:val="00960294"/>
    <w:rsid w:val="009602BE"/>
    <w:rsid w:val="0096055E"/>
    <w:rsid w:val="009608DA"/>
    <w:rsid w:val="00960BC8"/>
    <w:rsid w:val="00960C82"/>
    <w:rsid w:val="00960FF6"/>
    <w:rsid w:val="00961023"/>
    <w:rsid w:val="009617F7"/>
    <w:rsid w:val="009617FD"/>
    <w:rsid w:val="00961925"/>
    <w:rsid w:val="00961CCC"/>
    <w:rsid w:val="00961CCD"/>
    <w:rsid w:val="00961D3E"/>
    <w:rsid w:val="00961F57"/>
    <w:rsid w:val="0096266B"/>
    <w:rsid w:val="00962718"/>
    <w:rsid w:val="0096274B"/>
    <w:rsid w:val="009630A3"/>
    <w:rsid w:val="0096391E"/>
    <w:rsid w:val="00963954"/>
    <w:rsid w:val="0096466A"/>
    <w:rsid w:val="0096470F"/>
    <w:rsid w:val="009647E1"/>
    <w:rsid w:val="00964A55"/>
    <w:rsid w:val="00965428"/>
    <w:rsid w:val="00965429"/>
    <w:rsid w:val="0096545A"/>
    <w:rsid w:val="0096586D"/>
    <w:rsid w:val="00965E7B"/>
    <w:rsid w:val="00965FD7"/>
    <w:rsid w:val="00966511"/>
    <w:rsid w:val="009667E2"/>
    <w:rsid w:val="0096688F"/>
    <w:rsid w:val="009668C9"/>
    <w:rsid w:val="0096699C"/>
    <w:rsid w:val="009669EE"/>
    <w:rsid w:val="00966F42"/>
    <w:rsid w:val="0096714D"/>
    <w:rsid w:val="0096730D"/>
    <w:rsid w:val="009673C9"/>
    <w:rsid w:val="009674CA"/>
    <w:rsid w:val="00967590"/>
    <w:rsid w:val="009678D2"/>
    <w:rsid w:val="009679AD"/>
    <w:rsid w:val="00970070"/>
    <w:rsid w:val="009700C7"/>
    <w:rsid w:val="009705B8"/>
    <w:rsid w:val="00970774"/>
    <w:rsid w:val="00970C43"/>
    <w:rsid w:val="00970CDE"/>
    <w:rsid w:val="00971080"/>
    <w:rsid w:val="00971DD0"/>
    <w:rsid w:val="00972087"/>
    <w:rsid w:val="0097235E"/>
    <w:rsid w:val="009725D1"/>
    <w:rsid w:val="00972A77"/>
    <w:rsid w:val="00972A84"/>
    <w:rsid w:val="00972E4F"/>
    <w:rsid w:val="00973458"/>
    <w:rsid w:val="00973485"/>
    <w:rsid w:val="00973897"/>
    <w:rsid w:val="00973CD1"/>
    <w:rsid w:val="00973D9A"/>
    <w:rsid w:val="00973DC7"/>
    <w:rsid w:val="00973E49"/>
    <w:rsid w:val="00973F06"/>
    <w:rsid w:val="0097455F"/>
    <w:rsid w:val="0097457F"/>
    <w:rsid w:val="009747F7"/>
    <w:rsid w:val="00974B87"/>
    <w:rsid w:val="00974DB3"/>
    <w:rsid w:val="00974FEC"/>
    <w:rsid w:val="009758F3"/>
    <w:rsid w:val="0097693F"/>
    <w:rsid w:val="00976A88"/>
    <w:rsid w:val="00976F33"/>
    <w:rsid w:val="0097701A"/>
    <w:rsid w:val="0097705B"/>
    <w:rsid w:val="009771A7"/>
    <w:rsid w:val="00977211"/>
    <w:rsid w:val="0097729C"/>
    <w:rsid w:val="009775CB"/>
    <w:rsid w:val="0097795F"/>
    <w:rsid w:val="00977AC0"/>
    <w:rsid w:val="00977BCD"/>
    <w:rsid w:val="00980391"/>
    <w:rsid w:val="009803D6"/>
    <w:rsid w:val="00980605"/>
    <w:rsid w:val="009812E3"/>
    <w:rsid w:val="00981794"/>
    <w:rsid w:val="00981E8C"/>
    <w:rsid w:val="00981F98"/>
    <w:rsid w:val="009821CA"/>
    <w:rsid w:val="00982201"/>
    <w:rsid w:val="00982282"/>
    <w:rsid w:val="00982901"/>
    <w:rsid w:val="00982B54"/>
    <w:rsid w:val="00982F9F"/>
    <w:rsid w:val="00983084"/>
    <w:rsid w:val="00983190"/>
    <w:rsid w:val="0098329F"/>
    <w:rsid w:val="00983581"/>
    <w:rsid w:val="00983870"/>
    <w:rsid w:val="00983AE7"/>
    <w:rsid w:val="00984197"/>
    <w:rsid w:val="009842BD"/>
    <w:rsid w:val="00984A0A"/>
    <w:rsid w:val="00984ABB"/>
    <w:rsid w:val="00984C5F"/>
    <w:rsid w:val="009850AA"/>
    <w:rsid w:val="00985297"/>
    <w:rsid w:val="009855DD"/>
    <w:rsid w:val="0098563B"/>
    <w:rsid w:val="00985740"/>
    <w:rsid w:val="00985F1A"/>
    <w:rsid w:val="009861AD"/>
    <w:rsid w:val="00986208"/>
    <w:rsid w:val="009867BB"/>
    <w:rsid w:val="00986A6A"/>
    <w:rsid w:val="00986B41"/>
    <w:rsid w:val="00987497"/>
    <w:rsid w:val="00987574"/>
    <w:rsid w:val="009879C6"/>
    <w:rsid w:val="00987DC6"/>
    <w:rsid w:val="00987E55"/>
    <w:rsid w:val="009905CC"/>
    <w:rsid w:val="0099084F"/>
    <w:rsid w:val="00990AB2"/>
    <w:rsid w:val="00990C65"/>
    <w:rsid w:val="00990D68"/>
    <w:rsid w:val="00990DD1"/>
    <w:rsid w:val="00990FB7"/>
    <w:rsid w:val="009912F8"/>
    <w:rsid w:val="00991349"/>
    <w:rsid w:val="00991639"/>
    <w:rsid w:val="00991838"/>
    <w:rsid w:val="00991913"/>
    <w:rsid w:val="00991C2B"/>
    <w:rsid w:val="00991CD2"/>
    <w:rsid w:val="00991F15"/>
    <w:rsid w:val="0099201E"/>
    <w:rsid w:val="00992306"/>
    <w:rsid w:val="00992521"/>
    <w:rsid w:val="00992CC9"/>
    <w:rsid w:val="00992DA0"/>
    <w:rsid w:val="00993499"/>
    <w:rsid w:val="0099357F"/>
    <w:rsid w:val="00993623"/>
    <w:rsid w:val="00993977"/>
    <w:rsid w:val="009939C5"/>
    <w:rsid w:val="00993A6E"/>
    <w:rsid w:val="00993D99"/>
    <w:rsid w:val="00993E08"/>
    <w:rsid w:val="00994121"/>
    <w:rsid w:val="0099434D"/>
    <w:rsid w:val="0099446E"/>
    <w:rsid w:val="00994666"/>
    <w:rsid w:val="00994674"/>
    <w:rsid w:val="00994890"/>
    <w:rsid w:val="00994E35"/>
    <w:rsid w:val="00994F5B"/>
    <w:rsid w:val="009950CC"/>
    <w:rsid w:val="00995119"/>
    <w:rsid w:val="00995217"/>
    <w:rsid w:val="009953CA"/>
    <w:rsid w:val="00995E42"/>
    <w:rsid w:val="00996582"/>
    <w:rsid w:val="009966A1"/>
    <w:rsid w:val="009969B8"/>
    <w:rsid w:val="00996CE7"/>
    <w:rsid w:val="00996E33"/>
    <w:rsid w:val="00996EB5"/>
    <w:rsid w:val="00996F57"/>
    <w:rsid w:val="00997056"/>
    <w:rsid w:val="00997514"/>
    <w:rsid w:val="009975A2"/>
    <w:rsid w:val="009978D2"/>
    <w:rsid w:val="009978F9"/>
    <w:rsid w:val="00997B26"/>
    <w:rsid w:val="00997BFF"/>
    <w:rsid w:val="00997CFD"/>
    <w:rsid w:val="00997D72"/>
    <w:rsid w:val="00997F1C"/>
    <w:rsid w:val="009A0045"/>
    <w:rsid w:val="009A0222"/>
    <w:rsid w:val="009A02EE"/>
    <w:rsid w:val="009A04DB"/>
    <w:rsid w:val="009A05A6"/>
    <w:rsid w:val="009A087B"/>
    <w:rsid w:val="009A0DEE"/>
    <w:rsid w:val="009A1265"/>
    <w:rsid w:val="009A1437"/>
    <w:rsid w:val="009A18CF"/>
    <w:rsid w:val="009A1FCF"/>
    <w:rsid w:val="009A1FE7"/>
    <w:rsid w:val="009A227F"/>
    <w:rsid w:val="009A24AC"/>
    <w:rsid w:val="009A25B9"/>
    <w:rsid w:val="009A2BD5"/>
    <w:rsid w:val="009A2EF9"/>
    <w:rsid w:val="009A312C"/>
    <w:rsid w:val="009A3198"/>
    <w:rsid w:val="009A31CC"/>
    <w:rsid w:val="009A3651"/>
    <w:rsid w:val="009A3954"/>
    <w:rsid w:val="009A39AF"/>
    <w:rsid w:val="009A3B79"/>
    <w:rsid w:val="009A3FE4"/>
    <w:rsid w:val="009A4516"/>
    <w:rsid w:val="009A46A2"/>
    <w:rsid w:val="009A479F"/>
    <w:rsid w:val="009A4EC1"/>
    <w:rsid w:val="009A515A"/>
    <w:rsid w:val="009A55BC"/>
    <w:rsid w:val="009A5C43"/>
    <w:rsid w:val="009A5D80"/>
    <w:rsid w:val="009A5F77"/>
    <w:rsid w:val="009A6052"/>
    <w:rsid w:val="009A62E8"/>
    <w:rsid w:val="009A657E"/>
    <w:rsid w:val="009A675D"/>
    <w:rsid w:val="009A6C61"/>
    <w:rsid w:val="009A6F74"/>
    <w:rsid w:val="009A723F"/>
    <w:rsid w:val="009A7394"/>
    <w:rsid w:val="009A743F"/>
    <w:rsid w:val="009A765C"/>
    <w:rsid w:val="009A7AD1"/>
    <w:rsid w:val="009A7C84"/>
    <w:rsid w:val="009A7F5B"/>
    <w:rsid w:val="009A7F9C"/>
    <w:rsid w:val="009B036A"/>
    <w:rsid w:val="009B0747"/>
    <w:rsid w:val="009B0B30"/>
    <w:rsid w:val="009B0CCE"/>
    <w:rsid w:val="009B0E60"/>
    <w:rsid w:val="009B0F5B"/>
    <w:rsid w:val="009B15CC"/>
    <w:rsid w:val="009B170C"/>
    <w:rsid w:val="009B1EE9"/>
    <w:rsid w:val="009B20CC"/>
    <w:rsid w:val="009B24A0"/>
    <w:rsid w:val="009B27DA"/>
    <w:rsid w:val="009B2F68"/>
    <w:rsid w:val="009B333F"/>
    <w:rsid w:val="009B360E"/>
    <w:rsid w:val="009B391F"/>
    <w:rsid w:val="009B3AF2"/>
    <w:rsid w:val="009B3C1F"/>
    <w:rsid w:val="009B41DC"/>
    <w:rsid w:val="009B49C9"/>
    <w:rsid w:val="009B4D2E"/>
    <w:rsid w:val="009B5887"/>
    <w:rsid w:val="009B5B2B"/>
    <w:rsid w:val="009B6465"/>
    <w:rsid w:val="009B6588"/>
    <w:rsid w:val="009B65EC"/>
    <w:rsid w:val="009B66C0"/>
    <w:rsid w:val="009B677B"/>
    <w:rsid w:val="009B67FB"/>
    <w:rsid w:val="009B6834"/>
    <w:rsid w:val="009B6B8B"/>
    <w:rsid w:val="009B6DE1"/>
    <w:rsid w:val="009B7034"/>
    <w:rsid w:val="009B7129"/>
    <w:rsid w:val="009B7175"/>
    <w:rsid w:val="009B7560"/>
    <w:rsid w:val="009B7932"/>
    <w:rsid w:val="009B7B82"/>
    <w:rsid w:val="009B7D53"/>
    <w:rsid w:val="009C0158"/>
    <w:rsid w:val="009C03E4"/>
    <w:rsid w:val="009C05F7"/>
    <w:rsid w:val="009C0A15"/>
    <w:rsid w:val="009C0B02"/>
    <w:rsid w:val="009C0F2D"/>
    <w:rsid w:val="009C10EE"/>
    <w:rsid w:val="009C1173"/>
    <w:rsid w:val="009C1308"/>
    <w:rsid w:val="009C1B3A"/>
    <w:rsid w:val="009C1E44"/>
    <w:rsid w:val="009C1F00"/>
    <w:rsid w:val="009C2091"/>
    <w:rsid w:val="009C2652"/>
    <w:rsid w:val="009C281D"/>
    <w:rsid w:val="009C28DB"/>
    <w:rsid w:val="009C2BC9"/>
    <w:rsid w:val="009C2ECC"/>
    <w:rsid w:val="009C334A"/>
    <w:rsid w:val="009C345F"/>
    <w:rsid w:val="009C351B"/>
    <w:rsid w:val="009C351D"/>
    <w:rsid w:val="009C3967"/>
    <w:rsid w:val="009C3B66"/>
    <w:rsid w:val="009C4268"/>
    <w:rsid w:val="009C4392"/>
    <w:rsid w:val="009C44AF"/>
    <w:rsid w:val="009C457A"/>
    <w:rsid w:val="009C4C14"/>
    <w:rsid w:val="009C4C6A"/>
    <w:rsid w:val="009C4D43"/>
    <w:rsid w:val="009C4F18"/>
    <w:rsid w:val="009C504E"/>
    <w:rsid w:val="009C50E2"/>
    <w:rsid w:val="009C50E9"/>
    <w:rsid w:val="009C5520"/>
    <w:rsid w:val="009C58D0"/>
    <w:rsid w:val="009C6220"/>
    <w:rsid w:val="009C62F6"/>
    <w:rsid w:val="009C6A18"/>
    <w:rsid w:val="009C6A52"/>
    <w:rsid w:val="009C72D6"/>
    <w:rsid w:val="009C7612"/>
    <w:rsid w:val="009C7711"/>
    <w:rsid w:val="009D0079"/>
    <w:rsid w:val="009D03F6"/>
    <w:rsid w:val="009D06ED"/>
    <w:rsid w:val="009D0AE8"/>
    <w:rsid w:val="009D0DF6"/>
    <w:rsid w:val="009D0F2D"/>
    <w:rsid w:val="009D0FFA"/>
    <w:rsid w:val="009D1009"/>
    <w:rsid w:val="009D105F"/>
    <w:rsid w:val="009D1A49"/>
    <w:rsid w:val="009D1E4D"/>
    <w:rsid w:val="009D1F08"/>
    <w:rsid w:val="009D254B"/>
    <w:rsid w:val="009D25B9"/>
    <w:rsid w:val="009D287C"/>
    <w:rsid w:val="009D2943"/>
    <w:rsid w:val="009D2A58"/>
    <w:rsid w:val="009D2AB1"/>
    <w:rsid w:val="009D2B7C"/>
    <w:rsid w:val="009D3026"/>
    <w:rsid w:val="009D35B8"/>
    <w:rsid w:val="009D3651"/>
    <w:rsid w:val="009D366C"/>
    <w:rsid w:val="009D394F"/>
    <w:rsid w:val="009D3F6D"/>
    <w:rsid w:val="009D48FC"/>
    <w:rsid w:val="009D49E1"/>
    <w:rsid w:val="009D4A1D"/>
    <w:rsid w:val="009D4D61"/>
    <w:rsid w:val="009D4D6B"/>
    <w:rsid w:val="009D5199"/>
    <w:rsid w:val="009D555C"/>
    <w:rsid w:val="009D586A"/>
    <w:rsid w:val="009D59BD"/>
    <w:rsid w:val="009D5DEC"/>
    <w:rsid w:val="009D6203"/>
    <w:rsid w:val="009D6628"/>
    <w:rsid w:val="009D69D8"/>
    <w:rsid w:val="009D6A09"/>
    <w:rsid w:val="009D6D1F"/>
    <w:rsid w:val="009D7017"/>
    <w:rsid w:val="009D765E"/>
    <w:rsid w:val="009D7A53"/>
    <w:rsid w:val="009E003B"/>
    <w:rsid w:val="009E01E4"/>
    <w:rsid w:val="009E026E"/>
    <w:rsid w:val="009E052A"/>
    <w:rsid w:val="009E0627"/>
    <w:rsid w:val="009E0D39"/>
    <w:rsid w:val="009E0EF3"/>
    <w:rsid w:val="009E0F60"/>
    <w:rsid w:val="009E1269"/>
    <w:rsid w:val="009E13B8"/>
    <w:rsid w:val="009E18E9"/>
    <w:rsid w:val="009E19DD"/>
    <w:rsid w:val="009E1B1C"/>
    <w:rsid w:val="009E1F02"/>
    <w:rsid w:val="009E2130"/>
    <w:rsid w:val="009E2833"/>
    <w:rsid w:val="009E297D"/>
    <w:rsid w:val="009E2A1E"/>
    <w:rsid w:val="009E2A29"/>
    <w:rsid w:val="009E2C09"/>
    <w:rsid w:val="009E30EC"/>
    <w:rsid w:val="009E3E9B"/>
    <w:rsid w:val="009E3EEE"/>
    <w:rsid w:val="009E4485"/>
    <w:rsid w:val="009E451A"/>
    <w:rsid w:val="009E45C3"/>
    <w:rsid w:val="009E4CCF"/>
    <w:rsid w:val="009E4D8B"/>
    <w:rsid w:val="009E5BB7"/>
    <w:rsid w:val="009E5BD5"/>
    <w:rsid w:val="009E5CE6"/>
    <w:rsid w:val="009E5E8D"/>
    <w:rsid w:val="009E5FC5"/>
    <w:rsid w:val="009E6407"/>
    <w:rsid w:val="009E659A"/>
    <w:rsid w:val="009E66E8"/>
    <w:rsid w:val="009E7091"/>
    <w:rsid w:val="009E7327"/>
    <w:rsid w:val="009E756B"/>
    <w:rsid w:val="009E773D"/>
    <w:rsid w:val="009E7DE1"/>
    <w:rsid w:val="009F01FD"/>
    <w:rsid w:val="009F06E2"/>
    <w:rsid w:val="009F090B"/>
    <w:rsid w:val="009F097F"/>
    <w:rsid w:val="009F0B35"/>
    <w:rsid w:val="009F171E"/>
    <w:rsid w:val="009F18FB"/>
    <w:rsid w:val="009F25B6"/>
    <w:rsid w:val="009F2996"/>
    <w:rsid w:val="009F3426"/>
    <w:rsid w:val="009F34F9"/>
    <w:rsid w:val="009F3565"/>
    <w:rsid w:val="009F3718"/>
    <w:rsid w:val="009F409B"/>
    <w:rsid w:val="009F4154"/>
    <w:rsid w:val="009F41C9"/>
    <w:rsid w:val="009F474A"/>
    <w:rsid w:val="009F4AE2"/>
    <w:rsid w:val="009F4E9D"/>
    <w:rsid w:val="009F4E9F"/>
    <w:rsid w:val="009F512A"/>
    <w:rsid w:val="009F5254"/>
    <w:rsid w:val="009F558B"/>
    <w:rsid w:val="009F584D"/>
    <w:rsid w:val="009F5C58"/>
    <w:rsid w:val="009F61BA"/>
    <w:rsid w:val="009F65FA"/>
    <w:rsid w:val="009F6780"/>
    <w:rsid w:val="009F6AD0"/>
    <w:rsid w:val="009F6C42"/>
    <w:rsid w:val="009F6C5B"/>
    <w:rsid w:val="009F6E4A"/>
    <w:rsid w:val="009F6F9A"/>
    <w:rsid w:val="009F7457"/>
    <w:rsid w:val="009F7647"/>
    <w:rsid w:val="009F7942"/>
    <w:rsid w:val="009F7A23"/>
    <w:rsid w:val="009F7C4C"/>
    <w:rsid w:val="009F7C6F"/>
    <w:rsid w:val="00A00012"/>
    <w:rsid w:val="00A00232"/>
    <w:rsid w:val="00A00399"/>
    <w:rsid w:val="00A0092A"/>
    <w:rsid w:val="00A00BA9"/>
    <w:rsid w:val="00A00C5B"/>
    <w:rsid w:val="00A00E0E"/>
    <w:rsid w:val="00A00E6C"/>
    <w:rsid w:val="00A010A4"/>
    <w:rsid w:val="00A013E8"/>
    <w:rsid w:val="00A015A1"/>
    <w:rsid w:val="00A019E1"/>
    <w:rsid w:val="00A01A1A"/>
    <w:rsid w:val="00A02019"/>
    <w:rsid w:val="00A022CA"/>
    <w:rsid w:val="00A02380"/>
    <w:rsid w:val="00A02540"/>
    <w:rsid w:val="00A028A6"/>
    <w:rsid w:val="00A0298F"/>
    <w:rsid w:val="00A02FDC"/>
    <w:rsid w:val="00A0307C"/>
    <w:rsid w:val="00A03459"/>
    <w:rsid w:val="00A035E6"/>
    <w:rsid w:val="00A044C8"/>
    <w:rsid w:val="00A04537"/>
    <w:rsid w:val="00A04723"/>
    <w:rsid w:val="00A0484F"/>
    <w:rsid w:val="00A049B4"/>
    <w:rsid w:val="00A04A6D"/>
    <w:rsid w:val="00A04D5D"/>
    <w:rsid w:val="00A04FBA"/>
    <w:rsid w:val="00A052AC"/>
    <w:rsid w:val="00A052EB"/>
    <w:rsid w:val="00A0552E"/>
    <w:rsid w:val="00A05A64"/>
    <w:rsid w:val="00A05AA1"/>
    <w:rsid w:val="00A060C2"/>
    <w:rsid w:val="00A06170"/>
    <w:rsid w:val="00A06203"/>
    <w:rsid w:val="00A06581"/>
    <w:rsid w:val="00A065A9"/>
    <w:rsid w:val="00A06B06"/>
    <w:rsid w:val="00A07533"/>
    <w:rsid w:val="00A078F3"/>
    <w:rsid w:val="00A07BAF"/>
    <w:rsid w:val="00A100E1"/>
    <w:rsid w:val="00A101D9"/>
    <w:rsid w:val="00A102A1"/>
    <w:rsid w:val="00A107A9"/>
    <w:rsid w:val="00A10935"/>
    <w:rsid w:val="00A10F36"/>
    <w:rsid w:val="00A1146E"/>
    <w:rsid w:val="00A115C7"/>
    <w:rsid w:val="00A1175C"/>
    <w:rsid w:val="00A1181C"/>
    <w:rsid w:val="00A11B6C"/>
    <w:rsid w:val="00A11D61"/>
    <w:rsid w:val="00A12141"/>
    <w:rsid w:val="00A12304"/>
    <w:rsid w:val="00A129EE"/>
    <w:rsid w:val="00A12A63"/>
    <w:rsid w:val="00A12A94"/>
    <w:rsid w:val="00A12BCA"/>
    <w:rsid w:val="00A12C7E"/>
    <w:rsid w:val="00A12E70"/>
    <w:rsid w:val="00A1303B"/>
    <w:rsid w:val="00A137E5"/>
    <w:rsid w:val="00A13852"/>
    <w:rsid w:val="00A13B72"/>
    <w:rsid w:val="00A13D4A"/>
    <w:rsid w:val="00A140EA"/>
    <w:rsid w:val="00A145C6"/>
    <w:rsid w:val="00A148EB"/>
    <w:rsid w:val="00A14988"/>
    <w:rsid w:val="00A149A3"/>
    <w:rsid w:val="00A14A88"/>
    <w:rsid w:val="00A15A0D"/>
    <w:rsid w:val="00A15A83"/>
    <w:rsid w:val="00A15BC1"/>
    <w:rsid w:val="00A15F3A"/>
    <w:rsid w:val="00A16398"/>
    <w:rsid w:val="00A16411"/>
    <w:rsid w:val="00A1646B"/>
    <w:rsid w:val="00A16714"/>
    <w:rsid w:val="00A1698A"/>
    <w:rsid w:val="00A16BA2"/>
    <w:rsid w:val="00A16E00"/>
    <w:rsid w:val="00A16E2C"/>
    <w:rsid w:val="00A16FC6"/>
    <w:rsid w:val="00A173C3"/>
    <w:rsid w:val="00A17A17"/>
    <w:rsid w:val="00A17B35"/>
    <w:rsid w:val="00A17C22"/>
    <w:rsid w:val="00A17D66"/>
    <w:rsid w:val="00A17D9A"/>
    <w:rsid w:val="00A20349"/>
    <w:rsid w:val="00A20575"/>
    <w:rsid w:val="00A20850"/>
    <w:rsid w:val="00A209C7"/>
    <w:rsid w:val="00A21455"/>
    <w:rsid w:val="00A2149E"/>
    <w:rsid w:val="00A21513"/>
    <w:rsid w:val="00A21626"/>
    <w:rsid w:val="00A21684"/>
    <w:rsid w:val="00A21B95"/>
    <w:rsid w:val="00A22075"/>
    <w:rsid w:val="00A22107"/>
    <w:rsid w:val="00A2228A"/>
    <w:rsid w:val="00A22374"/>
    <w:rsid w:val="00A223D9"/>
    <w:rsid w:val="00A2250B"/>
    <w:rsid w:val="00A22B4F"/>
    <w:rsid w:val="00A22DB0"/>
    <w:rsid w:val="00A22F3F"/>
    <w:rsid w:val="00A23B32"/>
    <w:rsid w:val="00A23C33"/>
    <w:rsid w:val="00A23F38"/>
    <w:rsid w:val="00A2413E"/>
    <w:rsid w:val="00A241C4"/>
    <w:rsid w:val="00A24385"/>
    <w:rsid w:val="00A245AE"/>
    <w:rsid w:val="00A24682"/>
    <w:rsid w:val="00A24AE2"/>
    <w:rsid w:val="00A24C9B"/>
    <w:rsid w:val="00A25512"/>
    <w:rsid w:val="00A2565F"/>
    <w:rsid w:val="00A258AB"/>
    <w:rsid w:val="00A25C28"/>
    <w:rsid w:val="00A25E34"/>
    <w:rsid w:val="00A26009"/>
    <w:rsid w:val="00A26414"/>
    <w:rsid w:val="00A26A53"/>
    <w:rsid w:val="00A26DC7"/>
    <w:rsid w:val="00A27022"/>
    <w:rsid w:val="00A27096"/>
    <w:rsid w:val="00A272CF"/>
    <w:rsid w:val="00A27302"/>
    <w:rsid w:val="00A2796E"/>
    <w:rsid w:val="00A27BE5"/>
    <w:rsid w:val="00A3015D"/>
    <w:rsid w:val="00A301CD"/>
    <w:rsid w:val="00A303C8"/>
    <w:rsid w:val="00A31312"/>
    <w:rsid w:val="00A314BF"/>
    <w:rsid w:val="00A314F2"/>
    <w:rsid w:val="00A31643"/>
    <w:rsid w:val="00A3168B"/>
    <w:rsid w:val="00A31E12"/>
    <w:rsid w:val="00A3210C"/>
    <w:rsid w:val="00A322BA"/>
    <w:rsid w:val="00A3242B"/>
    <w:rsid w:val="00A32B02"/>
    <w:rsid w:val="00A32B3D"/>
    <w:rsid w:val="00A32CB9"/>
    <w:rsid w:val="00A32DE7"/>
    <w:rsid w:val="00A32F9F"/>
    <w:rsid w:val="00A336AB"/>
    <w:rsid w:val="00A33EC0"/>
    <w:rsid w:val="00A34037"/>
    <w:rsid w:val="00A3448E"/>
    <w:rsid w:val="00A347C9"/>
    <w:rsid w:val="00A34952"/>
    <w:rsid w:val="00A34D0D"/>
    <w:rsid w:val="00A34D3E"/>
    <w:rsid w:val="00A34E47"/>
    <w:rsid w:val="00A35663"/>
    <w:rsid w:val="00A35B38"/>
    <w:rsid w:val="00A35C5D"/>
    <w:rsid w:val="00A35D9C"/>
    <w:rsid w:val="00A36185"/>
    <w:rsid w:val="00A362ED"/>
    <w:rsid w:val="00A36731"/>
    <w:rsid w:val="00A3680F"/>
    <w:rsid w:val="00A36A05"/>
    <w:rsid w:val="00A36D08"/>
    <w:rsid w:val="00A36FA5"/>
    <w:rsid w:val="00A37AE5"/>
    <w:rsid w:val="00A37E78"/>
    <w:rsid w:val="00A37FB1"/>
    <w:rsid w:val="00A4028F"/>
    <w:rsid w:val="00A40329"/>
    <w:rsid w:val="00A40475"/>
    <w:rsid w:val="00A40515"/>
    <w:rsid w:val="00A405C2"/>
    <w:rsid w:val="00A405DE"/>
    <w:rsid w:val="00A406B2"/>
    <w:rsid w:val="00A415E5"/>
    <w:rsid w:val="00A4168A"/>
    <w:rsid w:val="00A417D0"/>
    <w:rsid w:val="00A41822"/>
    <w:rsid w:val="00A429E3"/>
    <w:rsid w:val="00A42C77"/>
    <w:rsid w:val="00A431C7"/>
    <w:rsid w:val="00A4323B"/>
    <w:rsid w:val="00A4340A"/>
    <w:rsid w:val="00A439E2"/>
    <w:rsid w:val="00A43C9B"/>
    <w:rsid w:val="00A43D09"/>
    <w:rsid w:val="00A44729"/>
    <w:rsid w:val="00A4488B"/>
    <w:rsid w:val="00A4497E"/>
    <w:rsid w:val="00A449DE"/>
    <w:rsid w:val="00A44A0A"/>
    <w:rsid w:val="00A44B38"/>
    <w:rsid w:val="00A4530D"/>
    <w:rsid w:val="00A45438"/>
    <w:rsid w:val="00A4557A"/>
    <w:rsid w:val="00A45A48"/>
    <w:rsid w:val="00A45BCF"/>
    <w:rsid w:val="00A45C61"/>
    <w:rsid w:val="00A461B1"/>
    <w:rsid w:val="00A46333"/>
    <w:rsid w:val="00A464BF"/>
    <w:rsid w:val="00A46516"/>
    <w:rsid w:val="00A4659B"/>
    <w:rsid w:val="00A46755"/>
    <w:rsid w:val="00A467BA"/>
    <w:rsid w:val="00A4682F"/>
    <w:rsid w:val="00A46BE6"/>
    <w:rsid w:val="00A46C36"/>
    <w:rsid w:val="00A4726A"/>
    <w:rsid w:val="00A47483"/>
    <w:rsid w:val="00A47704"/>
    <w:rsid w:val="00A478AF"/>
    <w:rsid w:val="00A47DC5"/>
    <w:rsid w:val="00A50024"/>
    <w:rsid w:val="00A5063C"/>
    <w:rsid w:val="00A50657"/>
    <w:rsid w:val="00A509B4"/>
    <w:rsid w:val="00A50A95"/>
    <w:rsid w:val="00A50EA0"/>
    <w:rsid w:val="00A50FCC"/>
    <w:rsid w:val="00A5118C"/>
    <w:rsid w:val="00A51300"/>
    <w:rsid w:val="00A52170"/>
    <w:rsid w:val="00A527CB"/>
    <w:rsid w:val="00A528D2"/>
    <w:rsid w:val="00A52CAC"/>
    <w:rsid w:val="00A52FAE"/>
    <w:rsid w:val="00A53529"/>
    <w:rsid w:val="00A53562"/>
    <w:rsid w:val="00A5391A"/>
    <w:rsid w:val="00A5419F"/>
    <w:rsid w:val="00A543EC"/>
    <w:rsid w:val="00A5461F"/>
    <w:rsid w:val="00A547F6"/>
    <w:rsid w:val="00A54D12"/>
    <w:rsid w:val="00A54D15"/>
    <w:rsid w:val="00A54D59"/>
    <w:rsid w:val="00A54E8E"/>
    <w:rsid w:val="00A5518F"/>
    <w:rsid w:val="00A556B6"/>
    <w:rsid w:val="00A5595F"/>
    <w:rsid w:val="00A559F4"/>
    <w:rsid w:val="00A55C8A"/>
    <w:rsid w:val="00A561CD"/>
    <w:rsid w:val="00A56230"/>
    <w:rsid w:val="00A562FC"/>
    <w:rsid w:val="00A565C5"/>
    <w:rsid w:val="00A56934"/>
    <w:rsid w:val="00A5733D"/>
    <w:rsid w:val="00A573B3"/>
    <w:rsid w:val="00A5746D"/>
    <w:rsid w:val="00A577E7"/>
    <w:rsid w:val="00A57A88"/>
    <w:rsid w:val="00A601FD"/>
    <w:rsid w:val="00A6063D"/>
    <w:rsid w:val="00A6067D"/>
    <w:rsid w:val="00A60A49"/>
    <w:rsid w:val="00A60A4F"/>
    <w:rsid w:val="00A60C36"/>
    <w:rsid w:val="00A60D98"/>
    <w:rsid w:val="00A60E65"/>
    <w:rsid w:val="00A60EE9"/>
    <w:rsid w:val="00A61513"/>
    <w:rsid w:val="00A61919"/>
    <w:rsid w:val="00A61A1C"/>
    <w:rsid w:val="00A621A2"/>
    <w:rsid w:val="00A62230"/>
    <w:rsid w:val="00A625D8"/>
    <w:rsid w:val="00A62B09"/>
    <w:rsid w:val="00A62D24"/>
    <w:rsid w:val="00A6301B"/>
    <w:rsid w:val="00A6316D"/>
    <w:rsid w:val="00A6320B"/>
    <w:rsid w:val="00A63759"/>
    <w:rsid w:val="00A63A75"/>
    <w:rsid w:val="00A63EAA"/>
    <w:rsid w:val="00A64530"/>
    <w:rsid w:val="00A649D8"/>
    <w:rsid w:val="00A6509B"/>
    <w:rsid w:val="00A65347"/>
    <w:rsid w:val="00A65397"/>
    <w:rsid w:val="00A6544D"/>
    <w:rsid w:val="00A65563"/>
    <w:rsid w:val="00A65988"/>
    <w:rsid w:val="00A659F5"/>
    <w:rsid w:val="00A65C0C"/>
    <w:rsid w:val="00A65D92"/>
    <w:rsid w:val="00A65DDE"/>
    <w:rsid w:val="00A66657"/>
    <w:rsid w:val="00A66663"/>
    <w:rsid w:val="00A6683F"/>
    <w:rsid w:val="00A66BC0"/>
    <w:rsid w:val="00A67572"/>
    <w:rsid w:val="00A675A9"/>
    <w:rsid w:val="00A67627"/>
    <w:rsid w:val="00A67A50"/>
    <w:rsid w:val="00A70052"/>
    <w:rsid w:val="00A701C1"/>
    <w:rsid w:val="00A7085F"/>
    <w:rsid w:val="00A70AD4"/>
    <w:rsid w:val="00A70B17"/>
    <w:rsid w:val="00A70CAF"/>
    <w:rsid w:val="00A71533"/>
    <w:rsid w:val="00A7169A"/>
    <w:rsid w:val="00A719C7"/>
    <w:rsid w:val="00A71BD7"/>
    <w:rsid w:val="00A720FC"/>
    <w:rsid w:val="00A724B9"/>
    <w:rsid w:val="00A72ADC"/>
    <w:rsid w:val="00A72C76"/>
    <w:rsid w:val="00A72F33"/>
    <w:rsid w:val="00A72F46"/>
    <w:rsid w:val="00A73076"/>
    <w:rsid w:val="00A73ADE"/>
    <w:rsid w:val="00A73B2C"/>
    <w:rsid w:val="00A73C40"/>
    <w:rsid w:val="00A73D19"/>
    <w:rsid w:val="00A74016"/>
    <w:rsid w:val="00A74729"/>
    <w:rsid w:val="00A7491D"/>
    <w:rsid w:val="00A74CF7"/>
    <w:rsid w:val="00A74EFF"/>
    <w:rsid w:val="00A750FD"/>
    <w:rsid w:val="00A751E6"/>
    <w:rsid w:val="00A756BF"/>
    <w:rsid w:val="00A75DD7"/>
    <w:rsid w:val="00A7680E"/>
    <w:rsid w:val="00A76B0F"/>
    <w:rsid w:val="00A80137"/>
    <w:rsid w:val="00A8043F"/>
    <w:rsid w:val="00A805CA"/>
    <w:rsid w:val="00A80C4F"/>
    <w:rsid w:val="00A80CF0"/>
    <w:rsid w:val="00A8108A"/>
    <w:rsid w:val="00A810E7"/>
    <w:rsid w:val="00A8146D"/>
    <w:rsid w:val="00A817C5"/>
    <w:rsid w:val="00A81D8A"/>
    <w:rsid w:val="00A82507"/>
    <w:rsid w:val="00A82604"/>
    <w:rsid w:val="00A82773"/>
    <w:rsid w:val="00A8385D"/>
    <w:rsid w:val="00A838CF"/>
    <w:rsid w:val="00A83B64"/>
    <w:rsid w:val="00A83BAF"/>
    <w:rsid w:val="00A8424E"/>
    <w:rsid w:val="00A8434F"/>
    <w:rsid w:val="00A844EB"/>
    <w:rsid w:val="00A845C0"/>
    <w:rsid w:val="00A8489E"/>
    <w:rsid w:val="00A84B2E"/>
    <w:rsid w:val="00A84BAB"/>
    <w:rsid w:val="00A84C74"/>
    <w:rsid w:val="00A85037"/>
    <w:rsid w:val="00A851D0"/>
    <w:rsid w:val="00A8520F"/>
    <w:rsid w:val="00A856F9"/>
    <w:rsid w:val="00A859F5"/>
    <w:rsid w:val="00A86031"/>
    <w:rsid w:val="00A8610A"/>
    <w:rsid w:val="00A867C0"/>
    <w:rsid w:val="00A86AE3"/>
    <w:rsid w:val="00A86D9A"/>
    <w:rsid w:val="00A87559"/>
    <w:rsid w:val="00A875B2"/>
    <w:rsid w:val="00A87995"/>
    <w:rsid w:val="00A87D22"/>
    <w:rsid w:val="00A87DAB"/>
    <w:rsid w:val="00A900B9"/>
    <w:rsid w:val="00A9056F"/>
    <w:rsid w:val="00A906D1"/>
    <w:rsid w:val="00A907C6"/>
    <w:rsid w:val="00A90A82"/>
    <w:rsid w:val="00A90C4A"/>
    <w:rsid w:val="00A910A0"/>
    <w:rsid w:val="00A913C6"/>
    <w:rsid w:val="00A91C32"/>
    <w:rsid w:val="00A92021"/>
    <w:rsid w:val="00A920CF"/>
    <w:rsid w:val="00A92517"/>
    <w:rsid w:val="00A92839"/>
    <w:rsid w:val="00A92CA7"/>
    <w:rsid w:val="00A92E93"/>
    <w:rsid w:val="00A93008"/>
    <w:rsid w:val="00A93186"/>
    <w:rsid w:val="00A9320D"/>
    <w:rsid w:val="00A93442"/>
    <w:rsid w:val="00A93A87"/>
    <w:rsid w:val="00A93C76"/>
    <w:rsid w:val="00A93D09"/>
    <w:rsid w:val="00A94165"/>
    <w:rsid w:val="00A9442F"/>
    <w:rsid w:val="00A94835"/>
    <w:rsid w:val="00A94975"/>
    <w:rsid w:val="00A94A70"/>
    <w:rsid w:val="00A94B94"/>
    <w:rsid w:val="00A94D15"/>
    <w:rsid w:val="00A94F82"/>
    <w:rsid w:val="00A95322"/>
    <w:rsid w:val="00A95578"/>
    <w:rsid w:val="00A95627"/>
    <w:rsid w:val="00A958AF"/>
    <w:rsid w:val="00A95AB4"/>
    <w:rsid w:val="00A960B1"/>
    <w:rsid w:val="00A9611D"/>
    <w:rsid w:val="00A9617D"/>
    <w:rsid w:val="00A96374"/>
    <w:rsid w:val="00A964AC"/>
    <w:rsid w:val="00A9672C"/>
    <w:rsid w:val="00A969D4"/>
    <w:rsid w:val="00A96AD8"/>
    <w:rsid w:val="00A96C43"/>
    <w:rsid w:val="00A9732A"/>
    <w:rsid w:val="00A9733E"/>
    <w:rsid w:val="00A9786A"/>
    <w:rsid w:val="00A97907"/>
    <w:rsid w:val="00A97954"/>
    <w:rsid w:val="00A979DB"/>
    <w:rsid w:val="00A97DF6"/>
    <w:rsid w:val="00AA0097"/>
    <w:rsid w:val="00AA00CB"/>
    <w:rsid w:val="00AA0BC1"/>
    <w:rsid w:val="00AA1033"/>
    <w:rsid w:val="00AA1076"/>
    <w:rsid w:val="00AA158B"/>
    <w:rsid w:val="00AA17FD"/>
    <w:rsid w:val="00AA18E6"/>
    <w:rsid w:val="00AA1CB1"/>
    <w:rsid w:val="00AA1DA9"/>
    <w:rsid w:val="00AA1F7D"/>
    <w:rsid w:val="00AA2432"/>
    <w:rsid w:val="00AA277A"/>
    <w:rsid w:val="00AA27D4"/>
    <w:rsid w:val="00AA29C9"/>
    <w:rsid w:val="00AA3267"/>
    <w:rsid w:val="00AA37FA"/>
    <w:rsid w:val="00AA39E0"/>
    <w:rsid w:val="00AA3C68"/>
    <w:rsid w:val="00AA3CAE"/>
    <w:rsid w:val="00AA4277"/>
    <w:rsid w:val="00AA43B9"/>
    <w:rsid w:val="00AA44E8"/>
    <w:rsid w:val="00AA48FB"/>
    <w:rsid w:val="00AA4908"/>
    <w:rsid w:val="00AA499D"/>
    <w:rsid w:val="00AA4C85"/>
    <w:rsid w:val="00AA4E04"/>
    <w:rsid w:val="00AA4F22"/>
    <w:rsid w:val="00AA558A"/>
    <w:rsid w:val="00AA5872"/>
    <w:rsid w:val="00AA5AFD"/>
    <w:rsid w:val="00AA5C44"/>
    <w:rsid w:val="00AA5C60"/>
    <w:rsid w:val="00AA6097"/>
    <w:rsid w:val="00AA618A"/>
    <w:rsid w:val="00AA652C"/>
    <w:rsid w:val="00AA6B78"/>
    <w:rsid w:val="00AA709A"/>
    <w:rsid w:val="00AA7349"/>
    <w:rsid w:val="00AA7753"/>
    <w:rsid w:val="00AA7808"/>
    <w:rsid w:val="00AA7B8C"/>
    <w:rsid w:val="00AA7DD3"/>
    <w:rsid w:val="00AA7DEC"/>
    <w:rsid w:val="00AA7E0A"/>
    <w:rsid w:val="00AB0006"/>
    <w:rsid w:val="00AB02DE"/>
    <w:rsid w:val="00AB03CC"/>
    <w:rsid w:val="00AB04CA"/>
    <w:rsid w:val="00AB070F"/>
    <w:rsid w:val="00AB0ABD"/>
    <w:rsid w:val="00AB0C2A"/>
    <w:rsid w:val="00AB0D0B"/>
    <w:rsid w:val="00AB10FB"/>
    <w:rsid w:val="00AB1140"/>
    <w:rsid w:val="00AB1B85"/>
    <w:rsid w:val="00AB1F72"/>
    <w:rsid w:val="00AB258F"/>
    <w:rsid w:val="00AB280D"/>
    <w:rsid w:val="00AB2A8E"/>
    <w:rsid w:val="00AB2EE3"/>
    <w:rsid w:val="00AB2F6D"/>
    <w:rsid w:val="00AB2FF6"/>
    <w:rsid w:val="00AB379F"/>
    <w:rsid w:val="00AB3898"/>
    <w:rsid w:val="00AB3A4D"/>
    <w:rsid w:val="00AB3D84"/>
    <w:rsid w:val="00AB421C"/>
    <w:rsid w:val="00AB49EC"/>
    <w:rsid w:val="00AB4A57"/>
    <w:rsid w:val="00AB511B"/>
    <w:rsid w:val="00AB5165"/>
    <w:rsid w:val="00AB5198"/>
    <w:rsid w:val="00AB51CC"/>
    <w:rsid w:val="00AB5457"/>
    <w:rsid w:val="00AB571D"/>
    <w:rsid w:val="00AB588C"/>
    <w:rsid w:val="00AB5A6C"/>
    <w:rsid w:val="00AB5DBE"/>
    <w:rsid w:val="00AB6620"/>
    <w:rsid w:val="00AB672A"/>
    <w:rsid w:val="00AB678D"/>
    <w:rsid w:val="00AB6AF9"/>
    <w:rsid w:val="00AB6E22"/>
    <w:rsid w:val="00AB6F1A"/>
    <w:rsid w:val="00AB7176"/>
    <w:rsid w:val="00AB76B3"/>
    <w:rsid w:val="00AB7C82"/>
    <w:rsid w:val="00AC0250"/>
    <w:rsid w:val="00AC05B0"/>
    <w:rsid w:val="00AC0783"/>
    <w:rsid w:val="00AC0B33"/>
    <w:rsid w:val="00AC10F9"/>
    <w:rsid w:val="00AC135E"/>
    <w:rsid w:val="00AC14F2"/>
    <w:rsid w:val="00AC1683"/>
    <w:rsid w:val="00AC1C18"/>
    <w:rsid w:val="00AC1C7A"/>
    <w:rsid w:val="00AC20F8"/>
    <w:rsid w:val="00AC2630"/>
    <w:rsid w:val="00AC2648"/>
    <w:rsid w:val="00AC2B06"/>
    <w:rsid w:val="00AC2BDC"/>
    <w:rsid w:val="00AC2F15"/>
    <w:rsid w:val="00AC2F1A"/>
    <w:rsid w:val="00AC3666"/>
    <w:rsid w:val="00AC39D4"/>
    <w:rsid w:val="00AC3BEA"/>
    <w:rsid w:val="00AC3F86"/>
    <w:rsid w:val="00AC4178"/>
    <w:rsid w:val="00AC459A"/>
    <w:rsid w:val="00AC4A9C"/>
    <w:rsid w:val="00AC4AB0"/>
    <w:rsid w:val="00AC4DA8"/>
    <w:rsid w:val="00AC4E09"/>
    <w:rsid w:val="00AC5300"/>
    <w:rsid w:val="00AC559D"/>
    <w:rsid w:val="00AC55A3"/>
    <w:rsid w:val="00AC5939"/>
    <w:rsid w:val="00AC598B"/>
    <w:rsid w:val="00AC5C3F"/>
    <w:rsid w:val="00AC5D72"/>
    <w:rsid w:val="00AC6049"/>
    <w:rsid w:val="00AC6430"/>
    <w:rsid w:val="00AC65E7"/>
    <w:rsid w:val="00AC6DD4"/>
    <w:rsid w:val="00AC7057"/>
    <w:rsid w:val="00AC7902"/>
    <w:rsid w:val="00AC7C47"/>
    <w:rsid w:val="00AC7E3C"/>
    <w:rsid w:val="00AD0005"/>
    <w:rsid w:val="00AD06C8"/>
    <w:rsid w:val="00AD0868"/>
    <w:rsid w:val="00AD0A9C"/>
    <w:rsid w:val="00AD0B8B"/>
    <w:rsid w:val="00AD0D89"/>
    <w:rsid w:val="00AD114E"/>
    <w:rsid w:val="00AD143E"/>
    <w:rsid w:val="00AD1457"/>
    <w:rsid w:val="00AD2242"/>
    <w:rsid w:val="00AD2A72"/>
    <w:rsid w:val="00AD2E98"/>
    <w:rsid w:val="00AD33D8"/>
    <w:rsid w:val="00AD3739"/>
    <w:rsid w:val="00AD37A4"/>
    <w:rsid w:val="00AD3918"/>
    <w:rsid w:val="00AD3E0A"/>
    <w:rsid w:val="00AD42D4"/>
    <w:rsid w:val="00AD4714"/>
    <w:rsid w:val="00AD4776"/>
    <w:rsid w:val="00AD48CC"/>
    <w:rsid w:val="00AD4A95"/>
    <w:rsid w:val="00AD4B01"/>
    <w:rsid w:val="00AD4C55"/>
    <w:rsid w:val="00AD4D31"/>
    <w:rsid w:val="00AD501C"/>
    <w:rsid w:val="00AD5191"/>
    <w:rsid w:val="00AD5624"/>
    <w:rsid w:val="00AD5759"/>
    <w:rsid w:val="00AD5EF9"/>
    <w:rsid w:val="00AD5F99"/>
    <w:rsid w:val="00AD5FFF"/>
    <w:rsid w:val="00AD696B"/>
    <w:rsid w:val="00AD72A9"/>
    <w:rsid w:val="00AD7739"/>
    <w:rsid w:val="00AD7857"/>
    <w:rsid w:val="00AD79FB"/>
    <w:rsid w:val="00AD7D64"/>
    <w:rsid w:val="00AE00DE"/>
    <w:rsid w:val="00AE0474"/>
    <w:rsid w:val="00AE05DF"/>
    <w:rsid w:val="00AE131D"/>
    <w:rsid w:val="00AE1E93"/>
    <w:rsid w:val="00AE23E3"/>
    <w:rsid w:val="00AE262D"/>
    <w:rsid w:val="00AE2D87"/>
    <w:rsid w:val="00AE3060"/>
    <w:rsid w:val="00AE35D5"/>
    <w:rsid w:val="00AE38FC"/>
    <w:rsid w:val="00AE3CBE"/>
    <w:rsid w:val="00AE4055"/>
    <w:rsid w:val="00AE459B"/>
    <w:rsid w:val="00AE47E0"/>
    <w:rsid w:val="00AE49C7"/>
    <w:rsid w:val="00AE4BF9"/>
    <w:rsid w:val="00AE4E04"/>
    <w:rsid w:val="00AE51FC"/>
    <w:rsid w:val="00AE57FE"/>
    <w:rsid w:val="00AE594E"/>
    <w:rsid w:val="00AE59A6"/>
    <w:rsid w:val="00AE5E73"/>
    <w:rsid w:val="00AE5F9B"/>
    <w:rsid w:val="00AE6523"/>
    <w:rsid w:val="00AE665C"/>
    <w:rsid w:val="00AE678A"/>
    <w:rsid w:val="00AE6858"/>
    <w:rsid w:val="00AE6906"/>
    <w:rsid w:val="00AE6ACA"/>
    <w:rsid w:val="00AE6F18"/>
    <w:rsid w:val="00AE72C2"/>
    <w:rsid w:val="00AE763F"/>
    <w:rsid w:val="00AE7676"/>
    <w:rsid w:val="00AE7AB9"/>
    <w:rsid w:val="00AE7C7F"/>
    <w:rsid w:val="00AF0084"/>
    <w:rsid w:val="00AF043A"/>
    <w:rsid w:val="00AF045B"/>
    <w:rsid w:val="00AF0673"/>
    <w:rsid w:val="00AF09C7"/>
    <w:rsid w:val="00AF09F4"/>
    <w:rsid w:val="00AF0BB9"/>
    <w:rsid w:val="00AF0BF9"/>
    <w:rsid w:val="00AF0C90"/>
    <w:rsid w:val="00AF118F"/>
    <w:rsid w:val="00AF1BB3"/>
    <w:rsid w:val="00AF1CA2"/>
    <w:rsid w:val="00AF2386"/>
    <w:rsid w:val="00AF2577"/>
    <w:rsid w:val="00AF2A88"/>
    <w:rsid w:val="00AF2AD9"/>
    <w:rsid w:val="00AF3000"/>
    <w:rsid w:val="00AF3691"/>
    <w:rsid w:val="00AF3D8D"/>
    <w:rsid w:val="00AF41D2"/>
    <w:rsid w:val="00AF4478"/>
    <w:rsid w:val="00AF4524"/>
    <w:rsid w:val="00AF4745"/>
    <w:rsid w:val="00AF475E"/>
    <w:rsid w:val="00AF4B06"/>
    <w:rsid w:val="00AF5496"/>
    <w:rsid w:val="00AF5AAA"/>
    <w:rsid w:val="00AF5AFF"/>
    <w:rsid w:val="00AF5F05"/>
    <w:rsid w:val="00AF5F8B"/>
    <w:rsid w:val="00AF6094"/>
    <w:rsid w:val="00AF61B2"/>
    <w:rsid w:val="00AF6AE2"/>
    <w:rsid w:val="00AF6C56"/>
    <w:rsid w:val="00AF6E20"/>
    <w:rsid w:val="00AF705E"/>
    <w:rsid w:val="00AF72BB"/>
    <w:rsid w:val="00AF75CD"/>
    <w:rsid w:val="00AF7A0A"/>
    <w:rsid w:val="00AF7C9B"/>
    <w:rsid w:val="00AF7EB3"/>
    <w:rsid w:val="00AF7F8A"/>
    <w:rsid w:val="00B00477"/>
    <w:rsid w:val="00B005B1"/>
    <w:rsid w:val="00B00A0B"/>
    <w:rsid w:val="00B00AFD"/>
    <w:rsid w:val="00B00D08"/>
    <w:rsid w:val="00B00E10"/>
    <w:rsid w:val="00B0128B"/>
    <w:rsid w:val="00B013A7"/>
    <w:rsid w:val="00B013CD"/>
    <w:rsid w:val="00B018E0"/>
    <w:rsid w:val="00B01AA3"/>
    <w:rsid w:val="00B01AF0"/>
    <w:rsid w:val="00B02468"/>
    <w:rsid w:val="00B0285A"/>
    <w:rsid w:val="00B02889"/>
    <w:rsid w:val="00B02B93"/>
    <w:rsid w:val="00B031D9"/>
    <w:rsid w:val="00B03233"/>
    <w:rsid w:val="00B032AD"/>
    <w:rsid w:val="00B035B2"/>
    <w:rsid w:val="00B04198"/>
    <w:rsid w:val="00B043C6"/>
    <w:rsid w:val="00B045C9"/>
    <w:rsid w:val="00B048AF"/>
    <w:rsid w:val="00B04953"/>
    <w:rsid w:val="00B04EB7"/>
    <w:rsid w:val="00B04F2F"/>
    <w:rsid w:val="00B050B9"/>
    <w:rsid w:val="00B051CF"/>
    <w:rsid w:val="00B0534E"/>
    <w:rsid w:val="00B053F9"/>
    <w:rsid w:val="00B054E3"/>
    <w:rsid w:val="00B05AE7"/>
    <w:rsid w:val="00B05CC4"/>
    <w:rsid w:val="00B05D3C"/>
    <w:rsid w:val="00B06064"/>
    <w:rsid w:val="00B060AF"/>
    <w:rsid w:val="00B060FF"/>
    <w:rsid w:val="00B061A2"/>
    <w:rsid w:val="00B06317"/>
    <w:rsid w:val="00B06CB5"/>
    <w:rsid w:val="00B06FE2"/>
    <w:rsid w:val="00B07164"/>
    <w:rsid w:val="00B07603"/>
    <w:rsid w:val="00B1048F"/>
    <w:rsid w:val="00B10797"/>
    <w:rsid w:val="00B107D0"/>
    <w:rsid w:val="00B10EE4"/>
    <w:rsid w:val="00B111D1"/>
    <w:rsid w:val="00B111D7"/>
    <w:rsid w:val="00B117C0"/>
    <w:rsid w:val="00B118E4"/>
    <w:rsid w:val="00B11C5D"/>
    <w:rsid w:val="00B11DFA"/>
    <w:rsid w:val="00B11E28"/>
    <w:rsid w:val="00B12531"/>
    <w:rsid w:val="00B128AB"/>
    <w:rsid w:val="00B12B55"/>
    <w:rsid w:val="00B12E52"/>
    <w:rsid w:val="00B12E54"/>
    <w:rsid w:val="00B12E90"/>
    <w:rsid w:val="00B12F2A"/>
    <w:rsid w:val="00B130DA"/>
    <w:rsid w:val="00B132A4"/>
    <w:rsid w:val="00B1338C"/>
    <w:rsid w:val="00B135BB"/>
    <w:rsid w:val="00B136D5"/>
    <w:rsid w:val="00B137C6"/>
    <w:rsid w:val="00B137D4"/>
    <w:rsid w:val="00B13A08"/>
    <w:rsid w:val="00B13B2A"/>
    <w:rsid w:val="00B13BBB"/>
    <w:rsid w:val="00B14481"/>
    <w:rsid w:val="00B145D8"/>
    <w:rsid w:val="00B146E8"/>
    <w:rsid w:val="00B14BD3"/>
    <w:rsid w:val="00B14E79"/>
    <w:rsid w:val="00B150C4"/>
    <w:rsid w:val="00B154B1"/>
    <w:rsid w:val="00B158AF"/>
    <w:rsid w:val="00B15D2D"/>
    <w:rsid w:val="00B1615C"/>
    <w:rsid w:val="00B1616B"/>
    <w:rsid w:val="00B16405"/>
    <w:rsid w:val="00B168AB"/>
    <w:rsid w:val="00B17329"/>
    <w:rsid w:val="00B17445"/>
    <w:rsid w:val="00B1793A"/>
    <w:rsid w:val="00B2015E"/>
    <w:rsid w:val="00B20493"/>
    <w:rsid w:val="00B204B6"/>
    <w:rsid w:val="00B20A65"/>
    <w:rsid w:val="00B20ACB"/>
    <w:rsid w:val="00B215D0"/>
    <w:rsid w:val="00B21803"/>
    <w:rsid w:val="00B218C5"/>
    <w:rsid w:val="00B21EF1"/>
    <w:rsid w:val="00B2242D"/>
    <w:rsid w:val="00B227EB"/>
    <w:rsid w:val="00B230D4"/>
    <w:rsid w:val="00B23306"/>
    <w:rsid w:val="00B24231"/>
    <w:rsid w:val="00B24248"/>
    <w:rsid w:val="00B24291"/>
    <w:rsid w:val="00B24574"/>
    <w:rsid w:val="00B245DB"/>
    <w:rsid w:val="00B24E89"/>
    <w:rsid w:val="00B25C73"/>
    <w:rsid w:val="00B25FC8"/>
    <w:rsid w:val="00B26039"/>
    <w:rsid w:val="00B264D8"/>
    <w:rsid w:val="00B26771"/>
    <w:rsid w:val="00B26850"/>
    <w:rsid w:val="00B269D5"/>
    <w:rsid w:val="00B26DA8"/>
    <w:rsid w:val="00B26E86"/>
    <w:rsid w:val="00B270A4"/>
    <w:rsid w:val="00B2714F"/>
    <w:rsid w:val="00B27F8C"/>
    <w:rsid w:val="00B301AB"/>
    <w:rsid w:val="00B301C6"/>
    <w:rsid w:val="00B302DF"/>
    <w:rsid w:val="00B30A48"/>
    <w:rsid w:val="00B30BBD"/>
    <w:rsid w:val="00B30DF3"/>
    <w:rsid w:val="00B3135B"/>
    <w:rsid w:val="00B31B83"/>
    <w:rsid w:val="00B32070"/>
    <w:rsid w:val="00B321BA"/>
    <w:rsid w:val="00B32680"/>
    <w:rsid w:val="00B32834"/>
    <w:rsid w:val="00B32AAE"/>
    <w:rsid w:val="00B32BDA"/>
    <w:rsid w:val="00B32D4F"/>
    <w:rsid w:val="00B32F48"/>
    <w:rsid w:val="00B33960"/>
    <w:rsid w:val="00B33DBD"/>
    <w:rsid w:val="00B3422D"/>
    <w:rsid w:val="00B3429F"/>
    <w:rsid w:val="00B34D02"/>
    <w:rsid w:val="00B351A2"/>
    <w:rsid w:val="00B3539B"/>
    <w:rsid w:val="00B353B6"/>
    <w:rsid w:val="00B354FF"/>
    <w:rsid w:val="00B35711"/>
    <w:rsid w:val="00B35A10"/>
    <w:rsid w:val="00B35D58"/>
    <w:rsid w:val="00B36175"/>
    <w:rsid w:val="00B36D4D"/>
    <w:rsid w:val="00B371D7"/>
    <w:rsid w:val="00B373B4"/>
    <w:rsid w:val="00B379B2"/>
    <w:rsid w:val="00B37F86"/>
    <w:rsid w:val="00B405CE"/>
    <w:rsid w:val="00B408D0"/>
    <w:rsid w:val="00B4092F"/>
    <w:rsid w:val="00B409F8"/>
    <w:rsid w:val="00B40A10"/>
    <w:rsid w:val="00B410D4"/>
    <w:rsid w:val="00B41361"/>
    <w:rsid w:val="00B4164A"/>
    <w:rsid w:val="00B41BA4"/>
    <w:rsid w:val="00B41CCE"/>
    <w:rsid w:val="00B4246C"/>
    <w:rsid w:val="00B42681"/>
    <w:rsid w:val="00B42C99"/>
    <w:rsid w:val="00B42C9C"/>
    <w:rsid w:val="00B42CA0"/>
    <w:rsid w:val="00B43977"/>
    <w:rsid w:val="00B439C2"/>
    <w:rsid w:val="00B43C10"/>
    <w:rsid w:val="00B43D54"/>
    <w:rsid w:val="00B43F3C"/>
    <w:rsid w:val="00B43FFE"/>
    <w:rsid w:val="00B44019"/>
    <w:rsid w:val="00B44938"/>
    <w:rsid w:val="00B449BB"/>
    <w:rsid w:val="00B44C54"/>
    <w:rsid w:val="00B4515F"/>
    <w:rsid w:val="00B45283"/>
    <w:rsid w:val="00B454DB"/>
    <w:rsid w:val="00B45821"/>
    <w:rsid w:val="00B45B23"/>
    <w:rsid w:val="00B45F5E"/>
    <w:rsid w:val="00B4614B"/>
    <w:rsid w:val="00B46209"/>
    <w:rsid w:val="00B4634F"/>
    <w:rsid w:val="00B4642B"/>
    <w:rsid w:val="00B464EE"/>
    <w:rsid w:val="00B46A27"/>
    <w:rsid w:val="00B46C94"/>
    <w:rsid w:val="00B47290"/>
    <w:rsid w:val="00B472D7"/>
    <w:rsid w:val="00B476BB"/>
    <w:rsid w:val="00B4770C"/>
    <w:rsid w:val="00B47782"/>
    <w:rsid w:val="00B479F7"/>
    <w:rsid w:val="00B47A50"/>
    <w:rsid w:val="00B47B71"/>
    <w:rsid w:val="00B47FA1"/>
    <w:rsid w:val="00B5003C"/>
    <w:rsid w:val="00B503FA"/>
    <w:rsid w:val="00B50B05"/>
    <w:rsid w:val="00B512AA"/>
    <w:rsid w:val="00B51F08"/>
    <w:rsid w:val="00B529F3"/>
    <w:rsid w:val="00B52CDA"/>
    <w:rsid w:val="00B52DDC"/>
    <w:rsid w:val="00B52EA3"/>
    <w:rsid w:val="00B52EB0"/>
    <w:rsid w:val="00B534ED"/>
    <w:rsid w:val="00B53A5F"/>
    <w:rsid w:val="00B53C53"/>
    <w:rsid w:val="00B53D22"/>
    <w:rsid w:val="00B53EF4"/>
    <w:rsid w:val="00B540D7"/>
    <w:rsid w:val="00B54583"/>
    <w:rsid w:val="00B54E0B"/>
    <w:rsid w:val="00B54E63"/>
    <w:rsid w:val="00B55B4C"/>
    <w:rsid w:val="00B56591"/>
    <w:rsid w:val="00B5661F"/>
    <w:rsid w:val="00B56E5C"/>
    <w:rsid w:val="00B570AD"/>
    <w:rsid w:val="00B57247"/>
    <w:rsid w:val="00B57488"/>
    <w:rsid w:val="00B575B0"/>
    <w:rsid w:val="00B57A74"/>
    <w:rsid w:val="00B57D2A"/>
    <w:rsid w:val="00B60193"/>
    <w:rsid w:val="00B60212"/>
    <w:rsid w:val="00B60498"/>
    <w:rsid w:val="00B60657"/>
    <w:rsid w:val="00B6092C"/>
    <w:rsid w:val="00B60FAB"/>
    <w:rsid w:val="00B6133A"/>
    <w:rsid w:val="00B61361"/>
    <w:rsid w:val="00B6139E"/>
    <w:rsid w:val="00B6189A"/>
    <w:rsid w:val="00B61D58"/>
    <w:rsid w:val="00B61FC5"/>
    <w:rsid w:val="00B62B11"/>
    <w:rsid w:val="00B62CA5"/>
    <w:rsid w:val="00B63976"/>
    <w:rsid w:val="00B63BD2"/>
    <w:rsid w:val="00B63D16"/>
    <w:rsid w:val="00B63E08"/>
    <w:rsid w:val="00B6448D"/>
    <w:rsid w:val="00B64A12"/>
    <w:rsid w:val="00B64AA0"/>
    <w:rsid w:val="00B64AC3"/>
    <w:rsid w:val="00B650E2"/>
    <w:rsid w:val="00B65251"/>
    <w:rsid w:val="00B654B5"/>
    <w:rsid w:val="00B654ED"/>
    <w:rsid w:val="00B656C6"/>
    <w:rsid w:val="00B65B8A"/>
    <w:rsid w:val="00B65CA4"/>
    <w:rsid w:val="00B65D01"/>
    <w:rsid w:val="00B662D5"/>
    <w:rsid w:val="00B66375"/>
    <w:rsid w:val="00B664B6"/>
    <w:rsid w:val="00B66522"/>
    <w:rsid w:val="00B66813"/>
    <w:rsid w:val="00B6696C"/>
    <w:rsid w:val="00B66B2D"/>
    <w:rsid w:val="00B6710A"/>
    <w:rsid w:val="00B67412"/>
    <w:rsid w:val="00B6752A"/>
    <w:rsid w:val="00B6755C"/>
    <w:rsid w:val="00B67D3B"/>
    <w:rsid w:val="00B67FCD"/>
    <w:rsid w:val="00B701A2"/>
    <w:rsid w:val="00B70252"/>
    <w:rsid w:val="00B70369"/>
    <w:rsid w:val="00B706F2"/>
    <w:rsid w:val="00B70FD8"/>
    <w:rsid w:val="00B717D2"/>
    <w:rsid w:val="00B71C05"/>
    <w:rsid w:val="00B71D86"/>
    <w:rsid w:val="00B71F94"/>
    <w:rsid w:val="00B72196"/>
    <w:rsid w:val="00B72336"/>
    <w:rsid w:val="00B72AD6"/>
    <w:rsid w:val="00B72E9F"/>
    <w:rsid w:val="00B72F37"/>
    <w:rsid w:val="00B73008"/>
    <w:rsid w:val="00B730A4"/>
    <w:rsid w:val="00B73116"/>
    <w:rsid w:val="00B73256"/>
    <w:rsid w:val="00B7391D"/>
    <w:rsid w:val="00B73BD7"/>
    <w:rsid w:val="00B73D31"/>
    <w:rsid w:val="00B74288"/>
    <w:rsid w:val="00B74528"/>
    <w:rsid w:val="00B745EF"/>
    <w:rsid w:val="00B74861"/>
    <w:rsid w:val="00B74B1F"/>
    <w:rsid w:val="00B74FAE"/>
    <w:rsid w:val="00B753B4"/>
    <w:rsid w:val="00B757C3"/>
    <w:rsid w:val="00B758A0"/>
    <w:rsid w:val="00B75ACA"/>
    <w:rsid w:val="00B75B45"/>
    <w:rsid w:val="00B75F95"/>
    <w:rsid w:val="00B7682A"/>
    <w:rsid w:val="00B7694D"/>
    <w:rsid w:val="00B76BBD"/>
    <w:rsid w:val="00B77077"/>
    <w:rsid w:val="00B77267"/>
    <w:rsid w:val="00B775E4"/>
    <w:rsid w:val="00B77617"/>
    <w:rsid w:val="00B77622"/>
    <w:rsid w:val="00B7789C"/>
    <w:rsid w:val="00B77CA9"/>
    <w:rsid w:val="00B8025B"/>
    <w:rsid w:val="00B80836"/>
    <w:rsid w:val="00B80AC2"/>
    <w:rsid w:val="00B811CB"/>
    <w:rsid w:val="00B8135B"/>
    <w:rsid w:val="00B81941"/>
    <w:rsid w:val="00B8198C"/>
    <w:rsid w:val="00B81EC5"/>
    <w:rsid w:val="00B822C0"/>
    <w:rsid w:val="00B822D1"/>
    <w:rsid w:val="00B82336"/>
    <w:rsid w:val="00B823EB"/>
    <w:rsid w:val="00B82D37"/>
    <w:rsid w:val="00B82F27"/>
    <w:rsid w:val="00B83369"/>
    <w:rsid w:val="00B84281"/>
    <w:rsid w:val="00B84613"/>
    <w:rsid w:val="00B847BA"/>
    <w:rsid w:val="00B8491C"/>
    <w:rsid w:val="00B8497C"/>
    <w:rsid w:val="00B84F83"/>
    <w:rsid w:val="00B8526B"/>
    <w:rsid w:val="00B852E8"/>
    <w:rsid w:val="00B852FE"/>
    <w:rsid w:val="00B8552F"/>
    <w:rsid w:val="00B855AB"/>
    <w:rsid w:val="00B8565F"/>
    <w:rsid w:val="00B85CA7"/>
    <w:rsid w:val="00B861AF"/>
    <w:rsid w:val="00B8687F"/>
    <w:rsid w:val="00B8696D"/>
    <w:rsid w:val="00B86C1C"/>
    <w:rsid w:val="00B8771B"/>
    <w:rsid w:val="00B87777"/>
    <w:rsid w:val="00B87BC5"/>
    <w:rsid w:val="00B90C4B"/>
    <w:rsid w:val="00B90DF1"/>
    <w:rsid w:val="00B90F00"/>
    <w:rsid w:val="00B90F70"/>
    <w:rsid w:val="00B91089"/>
    <w:rsid w:val="00B91882"/>
    <w:rsid w:val="00B919E9"/>
    <w:rsid w:val="00B9276B"/>
    <w:rsid w:val="00B927A7"/>
    <w:rsid w:val="00B9318D"/>
    <w:rsid w:val="00B936B9"/>
    <w:rsid w:val="00B93B0B"/>
    <w:rsid w:val="00B93C62"/>
    <w:rsid w:val="00B93CBC"/>
    <w:rsid w:val="00B941D0"/>
    <w:rsid w:val="00B94321"/>
    <w:rsid w:val="00B945C8"/>
    <w:rsid w:val="00B94743"/>
    <w:rsid w:val="00B94C5F"/>
    <w:rsid w:val="00B954CF"/>
    <w:rsid w:val="00B95DBB"/>
    <w:rsid w:val="00B95EA0"/>
    <w:rsid w:val="00B961C2"/>
    <w:rsid w:val="00B96228"/>
    <w:rsid w:val="00B964C9"/>
    <w:rsid w:val="00B9652D"/>
    <w:rsid w:val="00B96574"/>
    <w:rsid w:val="00B967B9"/>
    <w:rsid w:val="00B96A88"/>
    <w:rsid w:val="00B97007"/>
    <w:rsid w:val="00B97350"/>
    <w:rsid w:val="00B97457"/>
    <w:rsid w:val="00B97D0B"/>
    <w:rsid w:val="00B97DCD"/>
    <w:rsid w:val="00B97E4C"/>
    <w:rsid w:val="00B97E74"/>
    <w:rsid w:val="00B97ECE"/>
    <w:rsid w:val="00B97EF5"/>
    <w:rsid w:val="00BA005D"/>
    <w:rsid w:val="00BA00FF"/>
    <w:rsid w:val="00BA01F8"/>
    <w:rsid w:val="00BA055B"/>
    <w:rsid w:val="00BA05EE"/>
    <w:rsid w:val="00BA0619"/>
    <w:rsid w:val="00BA071A"/>
    <w:rsid w:val="00BA072A"/>
    <w:rsid w:val="00BA083C"/>
    <w:rsid w:val="00BA0922"/>
    <w:rsid w:val="00BA0972"/>
    <w:rsid w:val="00BA0D45"/>
    <w:rsid w:val="00BA0D80"/>
    <w:rsid w:val="00BA12E4"/>
    <w:rsid w:val="00BA1718"/>
    <w:rsid w:val="00BA21CE"/>
    <w:rsid w:val="00BA2394"/>
    <w:rsid w:val="00BA2A44"/>
    <w:rsid w:val="00BA2B4A"/>
    <w:rsid w:val="00BA2BD4"/>
    <w:rsid w:val="00BA2D14"/>
    <w:rsid w:val="00BA2E87"/>
    <w:rsid w:val="00BA3D50"/>
    <w:rsid w:val="00BA3E68"/>
    <w:rsid w:val="00BA425E"/>
    <w:rsid w:val="00BA4802"/>
    <w:rsid w:val="00BA4B02"/>
    <w:rsid w:val="00BA5209"/>
    <w:rsid w:val="00BA5257"/>
    <w:rsid w:val="00BA52B7"/>
    <w:rsid w:val="00BA5C33"/>
    <w:rsid w:val="00BA62F9"/>
    <w:rsid w:val="00BA6413"/>
    <w:rsid w:val="00BA6783"/>
    <w:rsid w:val="00BA6844"/>
    <w:rsid w:val="00BA6A08"/>
    <w:rsid w:val="00BA6CF2"/>
    <w:rsid w:val="00BA6DC1"/>
    <w:rsid w:val="00BA6EAB"/>
    <w:rsid w:val="00BA70B2"/>
    <w:rsid w:val="00BA713C"/>
    <w:rsid w:val="00BA7236"/>
    <w:rsid w:val="00BA740A"/>
    <w:rsid w:val="00BA7517"/>
    <w:rsid w:val="00BA7776"/>
    <w:rsid w:val="00BA7AEE"/>
    <w:rsid w:val="00BA7C9D"/>
    <w:rsid w:val="00BB013D"/>
    <w:rsid w:val="00BB0143"/>
    <w:rsid w:val="00BB0155"/>
    <w:rsid w:val="00BB0354"/>
    <w:rsid w:val="00BB05F3"/>
    <w:rsid w:val="00BB0881"/>
    <w:rsid w:val="00BB0D15"/>
    <w:rsid w:val="00BB0D19"/>
    <w:rsid w:val="00BB0D9F"/>
    <w:rsid w:val="00BB0FD2"/>
    <w:rsid w:val="00BB13A8"/>
    <w:rsid w:val="00BB13DF"/>
    <w:rsid w:val="00BB14CF"/>
    <w:rsid w:val="00BB16EE"/>
    <w:rsid w:val="00BB1888"/>
    <w:rsid w:val="00BB1C1E"/>
    <w:rsid w:val="00BB1F0D"/>
    <w:rsid w:val="00BB2292"/>
    <w:rsid w:val="00BB2986"/>
    <w:rsid w:val="00BB2B34"/>
    <w:rsid w:val="00BB2C2E"/>
    <w:rsid w:val="00BB2DE4"/>
    <w:rsid w:val="00BB311B"/>
    <w:rsid w:val="00BB341E"/>
    <w:rsid w:val="00BB378D"/>
    <w:rsid w:val="00BB389F"/>
    <w:rsid w:val="00BB393C"/>
    <w:rsid w:val="00BB3B79"/>
    <w:rsid w:val="00BB3B86"/>
    <w:rsid w:val="00BB3F0B"/>
    <w:rsid w:val="00BB3F16"/>
    <w:rsid w:val="00BB4387"/>
    <w:rsid w:val="00BB46A4"/>
    <w:rsid w:val="00BB4E41"/>
    <w:rsid w:val="00BB4FD5"/>
    <w:rsid w:val="00BB5005"/>
    <w:rsid w:val="00BB5028"/>
    <w:rsid w:val="00BB523A"/>
    <w:rsid w:val="00BB5541"/>
    <w:rsid w:val="00BB58B9"/>
    <w:rsid w:val="00BB6084"/>
    <w:rsid w:val="00BB64D5"/>
    <w:rsid w:val="00BB676F"/>
    <w:rsid w:val="00BB6AF8"/>
    <w:rsid w:val="00BC0135"/>
    <w:rsid w:val="00BC0264"/>
    <w:rsid w:val="00BC0276"/>
    <w:rsid w:val="00BC02D6"/>
    <w:rsid w:val="00BC044F"/>
    <w:rsid w:val="00BC0881"/>
    <w:rsid w:val="00BC10FE"/>
    <w:rsid w:val="00BC1535"/>
    <w:rsid w:val="00BC156C"/>
    <w:rsid w:val="00BC178D"/>
    <w:rsid w:val="00BC1840"/>
    <w:rsid w:val="00BC1AAC"/>
    <w:rsid w:val="00BC1E15"/>
    <w:rsid w:val="00BC1E6F"/>
    <w:rsid w:val="00BC1EDF"/>
    <w:rsid w:val="00BC2313"/>
    <w:rsid w:val="00BC29D1"/>
    <w:rsid w:val="00BC2F4F"/>
    <w:rsid w:val="00BC3312"/>
    <w:rsid w:val="00BC35E8"/>
    <w:rsid w:val="00BC35FD"/>
    <w:rsid w:val="00BC3677"/>
    <w:rsid w:val="00BC3739"/>
    <w:rsid w:val="00BC38D2"/>
    <w:rsid w:val="00BC3AF1"/>
    <w:rsid w:val="00BC3BD8"/>
    <w:rsid w:val="00BC3EC6"/>
    <w:rsid w:val="00BC3F58"/>
    <w:rsid w:val="00BC5207"/>
    <w:rsid w:val="00BC555C"/>
    <w:rsid w:val="00BC56E3"/>
    <w:rsid w:val="00BC5D2E"/>
    <w:rsid w:val="00BC5FF8"/>
    <w:rsid w:val="00BC6462"/>
    <w:rsid w:val="00BC6EB4"/>
    <w:rsid w:val="00BC794D"/>
    <w:rsid w:val="00BC7A53"/>
    <w:rsid w:val="00BC7C3A"/>
    <w:rsid w:val="00BC7CB6"/>
    <w:rsid w:val="00BC7D64"/>
    <w:rsid w:val="00BC7F2E"/>
    <w:rsid w:val="00BD06FD"/>
    <w:rsid w:val="00BD09C5"/>
    <w:rsid w:val="00BD0B0E"/>
    <w:rsid w:val="00BD0B6B"/>
    <w:rsid w:val="00BD0CE3"/>
    <w:rsid w:val="00BD107E"/>
    <w:rsid w:val="00BD1545"/>
    <w:rsid w:val="00BD17DE"/>
    <w:rsid w:val="00BD1B78"/>
    <w:rsid w:val="00BD1C69"/>
    <w:rsid w:val="00BD1EEF"/>
    <w:rsid w:val="00BD1F78"/>
    <w:rsid w:val="00BD20A2"/>
    <w:rsid w:val="00BD23A4"/>
    <w:rsid w:val="00BD23C9"/>
    <w:rsid w:val="00BD24C9"/>
    <w:rsid w:val="00BD27C5"/>
    <w:rsid w:val="00BD282D"/>
    <w:rsid w:val="00BD29AC"/>
    <w:rsid w:val="00BD2D88"/>
    <w:rsid w:val="00BD2EBF"/>
    <w:rsid w:val="00BD35FA"/>
    <w:rsid w:val="00BD3754"/>
    <w:rsid w:val="00BD3AEF"/>
    <w:rsid w:val="00BD3B11"/>
    <w:rsid w:val="00BD3E2F"/>
    <w:rsid w:val="00BD40B0"/>
    <w:rsid w:val="00BD426B"/>
    <w:rsid w:val="00BD45C0"/>
    <w:rsid w:val="00BD47AA"/>
    <w:rsid w:val="00BD49ED"/>
    <w:rsid w:val="00BD4CF1"/>
    <w:rsid w:val="00BD4FE1"/>
    <w:rsid w:val="00BD503C"/>
    <w:rsid w:val="00BD585F"/>
    <w:rsid w:val="00BD5D1A"/>
    <w:rsid w:val="00BD5DDA"/>
    <w:rsid w:val="00BD6042"/>
    <w:rsid w:val="00BD6159"/>
    <w:rsid w:val="00BD634E"/>
    <w:rsid w:val="00BD6745"/>
    <w:rsid w:val="00BD6AFA"/>
    <w:rsid w:val="00BD6D84"/>
    <w:rsid w:val="00BD6D90"/>
    <w:rsid w:val="00BD7143"/>
    <w:rsid w:val="00BD7334"/>
    <w:rsid w:val="00BD74A2"/>
    <w:rsid w:val="00BD7900"/>
    <w:rsid w:val="00BD7A2F"/>
    <w:rsid w:val="00BD7A72"/>
    <w:rsid w:val="00BD7E0C"/>
    <w:rsid w:val="00BDEF11"/>
    <w:rsid w:val="00BE025E"/>
    <w:rsid w:val="00BE0520"/>
    <w:rsid w:val="00BE0E14"/>
    <w:rsid w:val="00BE0FBA"/>
    <w:rsid w:val="00BE1186"/>
    <w:rsid w:val="00BE148C"/>
    <w:rsid w:val="00BE153C"/>
    <w:rsid w:val="00BE16CD"/>
    <w:rsid w:val="00BE184B"/>
    <w:rsid w:val="00BE1D53"/>
    <w:rsid w:val="00BE1F03"/>
    <w:rsid w:val="00BE2578"/>
    <w:rsid w:val="00BE2755"/>
    <w:rsid w:val="00BE2789"/>
    <w:rsid w:val="00BE3101"/>
    <w:rsid w:val="00BE3448"/>
    <w:rsid w:val="00BE345B"/>
    <w:rsid w:val="00BE3470"/>
    <w:rsid w:val="00BE353A"/>
    <w:rsid w:val="00BE3578"/>
    <w:rsid w:val="00BE37D0"/>
    <w:rsid w:val="00BE389D"/>
    <w:rsid w:val="00BE3D2F"/>
    <w:rsid w:val="00BE3D8D"/>
    <w:rsid w:val="00BE43D1"/>
    <w:rsid w:val="00BE471D"/>
    <w:rsid w:val="00BE47C6"/>
    <w:rsid w:val="00BE4C02"/>
    <w:rsid w:val="00BE4D83"/>
    <w:rsid w:val="00BE52FA"/>
    <w:rsid w:val="00BE53BF"/>
    <w:rsid w:val="00BE5459"/>
    <w:rsid w:val="00BE57B0"/>
    <w:rsid w:val="00BE5D85"/>
    <w:rsid w:val="00BE63A1"/>
    <w:rsid w:val="00BE6402"/>
    <w:rsid w:val="00BE678B"/>
    <w:rsid w:val="00BE6918"/>
    <w:rsid w:val="00BE6BE4"/>
    <w:rsid w:val="00BE6D1B"/>
    <w:rsid w:val="00BE6E79"/>
    <w:rsid w:val="00BE7617"/>
    <w:rsid w:val="00BE7716"/>
    <w:rsid w:val="00BE7969"/>
    <w:rsid w:val="00BE7DE9"/>
    <w:rsid w:val="00BF04D8"/>
    <w:rsid w:val="00BF05EE"/>
    <w:rsid w:val="00BF0BEF"/>
    <w:rsid w:val="00BF0D27"/>
    <w:rsid w:val="00BF0E1C"/>
    <w:rsid w:val="00BF10D1"/>
    <w:rsid w:val="00BF1288"/>
    <w:rsid w:val="00BF1369"/>
    <w:rsid w:val="00BF14D4"/>
    <w:rsid w:val="00BF192C"/>
    <w:rsid w:val="00BF1A32"/>
    <w:rsid w:val="00BF1A9A"/>
    <w:rsid w:val="00BF1CB3"/>
    <w:rsid w:val="00BF20D8"/>
    <w:rsid w:val="00BF2101"/>
    <w:rsid w:val="00BF2851"/>
    <w:rsid w:val="00BF2985"/>
    <w:rsid w:val="00BF3407"/>
    <w:rsid w:val="00BF3512"/>
    <w:rsid w:val="00BF3805"/>
    <w:rsid w:val="00BF3925"/>
    <w:rsid w:val="00BF4365"/>
    <w:rsid w:val="00BF44E4"/>
    <w:rsid w:val="00BF4962"/>
    <w:rsid w:val="00BF49D1"/>
    <w:rsid w:val="00BF4A99"/>
    <w:rsid w:val="00BF50E8"/>
    <w:rsid w:val="00BF558F"/>
    <w:rsid w:val="00BF56E9"/>
    <w:rsid w:val="00BF57F2"/>
    <w:rsid w:val="00BF6055"/>
    <w:rsid w:val="00BF608C"/>
    <w:rsid w:val="00BF62FE"/>
    <w:rsid w:val="00BF65B3"/>
    <w:rsid w:val="00BF703E"/>
    <w:rsid w:val="00BF71E8"/>
    <w:rsid w:val="00BF7221"/>
    <w:rsid w:val="00BF72A9"/>
    <w:rsid w:val="00BF73B4"/>
    <w:rsid w:val="00BF7993"/>
    <w:rsid w:val="00BF7D31"/>
    <w:rsid w:val="00BF7E3F"/>
    <w:rsid w:val="00BF7F77"/>
    <w:rsid w:val="00C003BC"/>
    <w:rsid w:val="00C005A3"/>
    <w:rsid w:val="00C0078E"/>
    <w:rsid w:val="00C00AF9"/>
    <w:rsid w:val="00C00B6F"/>
    <w:rsid w:val="00C00C85"/>
    <w:rsid w:val="00C00EA0"/>
    <w:rsid w:val="00C01B61"/>
    <w:rsid w:val="00C01B6D"/>
    <w:rsid w:val="00C02217"/>
    <w:rsid w:val="00C0241F"/>
    <w:rsid w:val="00C028F5"/>
    <w:rsid w:val="00C02AE6"/>
    <w:rsid w:val="00C02B46"/>
    <w:rsid w:val="00C02D03"/>
    <w:rsid w:val="00C03319"/>
    <w:rsid w:val="00C0336F"/>
    <w:rsid w:val="00C03422"/>
    <w:rsid w:val="00C03A36"/>
    <w:rsid w:val="00C03AB4"/>
    <w:rsid w:val="00C03B01"/>
    <w:rsid w:val="00C040F9"/>
    <w:rsid w:val="00C0449D"/>
    <w:rsid w:val="00C047D4"/>
    <w:rsid w:val="00C05208"/>
    <w:rsid w:val="00C05427"/>
    <w:rsid w:val="00C054E6"/>
    <w:rsid w:val="00C05535"/>
    <w:rsid w:val="00C056B0"/>
    <w:rsid w:val="00C056F1"/>
    <w:rsid w:val="00C0573D"/>
    <w:rsid w:val="00C061FC"/>
    <w:rsid w:val="00C06361"/>
    <w:rsid w:val="00C0639E"/>
    <w:rsid w:val="00C06475"/>
    <w:rsid w:val="00C067FA"/>
    <w:rsid w:val="00C06A87"/>
    <w:rsid w:val="00C07560"/>
    <w:rsid w:val="00C07765"/>
    <w:rsid w:val="00C07802"/>
    <w:rsid w:val="00C078D6"/>
    <w:rsid w:val="00C07A60"/>
    <w:rsid w:val="00C07CDE"/>
    <w:rsid w:val="00C07DD1"/>
    <w:rsid w:val="00C07F31"/>
    <w:rsid w:val="00C10461"/>
    <w:rsid w:val="00C10D81"/>
    <w:rsid w:val="00C10D83"/>
    <w:rsid w:val="00C11663"/>
    <w:rsid w:val="00C118DD"/>
    <w:rsid w:val="00C11F78"/>
    <w:rsid w:val="00C11F79"/>
    <w:rsid w:val="00C11FE4"/>
    <w:rsid w:val="00C12380"/>
    <w:rsid w:val="00C12386"/>
    <w:rsid w:val="00C12998"/>
    <w:rsid w:val="00C13D65"/>
    <w:rsid w:val="00C14771"/>
    <w:rsid w:val="00C1499F"/>
    <w:rsid w:val="00C14A6A"/>
    <w:rsid w:val="00C14E55"/>
    <w:rsid w:val="00C153D1"/>
    <w:rsid w:val="00C15E39"/>
    <w:rsid w:val="00C15F03"/>
    <w:rsid w:val="00C161E7"/>
    <w:rsid w:val="00C162D2"/>
    <w:rsid w:val="00C165FC"/>
    <w:rsid w:val="00C166B8"/>
    <w:rsid w:val="00C16859"/>
    <w:rsid w:val="00C1688D"/>
    <w:rsid w:val="00C16BEE"/>
    <w:rsid w:val="00C16D4E"/>
    <w:rsid w:val="00C16D80"/>
    <w:rsid w:val="00C17457"/>
    <w:rsid w:val="00C17532"/>
    <w:rsid w:val="00C175E7"/>
    <w:rsid w:val="00C17633"/>
    <w:rsid w:val="00C17857"/>
    <w:rsid w:val="00C17997"/>
    <w:rsid w:val="00C17B91"/>
    <w:rsid w:val="00C2066C"/>
    <w:rsid w:val="00C2079B"/>
    <w:rsid w:val="00C2149B"/>
    <w:rsid w:val="00C21751"/>
    <w:rsid w:val="00C2178B"/>
    <w:rsid w:val="00C2190C"/>
    <w:rsid w:val="00C21A92"/>
    <w:rsid w:val="00C21AFE"/>
    <w:rsid w:val="00C21B9F"/>
    <w:rsid w:val="00C21D0F"/>
    <w:rsid w:val="00C21D13"/>
    <w:rsid w:val="00C21E00"/>
    <w:rsid w:val="00C21FE5"/>
    <w:rsid w:val="00C2237E"/>
    <w:rsid w:val="00C22464"/>
    <w:rsid w:val="00C23114"/>
    <w:rsid w:val="00C231A2"/>
    <w:rsid w:val="00C232D7"/>
    <w:rsid w:val="00C2339E"/>
    <w:rsid w:val="00C23C46"/>
    <w:rsid w:val="00C2413B"/>
    <w:rsid w:val="00C2426F"/>
    <w:rsid w:val="00C24820"/>
    <w:rsid w:val="00C25887"/>
    <w:rsid w:val="00C259EC"/>
    <w:rsid w:val="00C25AAE"/>
    <w:rsid w:val="00C25BE3"/>
    <w:rsid w:val="00C25D3E"/>
    <w:rsid w:val="00C26209"/>
    <w:rsid w:val="00C26564"/>
    <w:rsid w:val="00C26DDE"/>
    <w:rsid w:val="00C2769F"/>
    <w:rsid w:val="00C2776E"/>
    <w:rsid w:val="00C27FDA"/>
    <w:rsid w:val="00C301E7"/>
    <w:rsid w:val="00C30354"/>
    <w:rsid w:val="00C30455"/>
    <w:rsid w:val="00C3050A"/>
    <w:rsid w:val="00C307CA"/>
    <w:rsid w:val="00C30CAA"/>
    <w:rsid w:val="00C30FB7"/>
    <w:rsid w:val="00C3108D"/>
    <w:rsid w:val="00C317FE"/>
    <w:rsid w:val="00C31828"/>
    <w:rsid w:val="00C31D45"/>
    <w:rsid w:val="00C31D55"/>
    <w:rsid w:val="00C320F8"/>
    <w:rsid w:val="00C322CA"/>
    <w:rsid w:val="00C323C7"/>
    <w:rsid w:val="00C328B7"/>
    <w:rsid w:val="00C32AC5"/>
    <w:rsid w:val="00C32B31"/>
    <w:rsid w:val="00C32F56"/>
    <w:rsid w:val="00C33A12"/>
    <w:rsid w:val="00C33E8A"/>
    <w:rsid w:val="00C34135"/>
    <w:rsid w:val="00C34380"/>
    <w:rsid w:val="00C346FF"/>
    <w:rsid w:val="00C3475D"/>
    <w:rsid w:val="00C347F8"/>
    <w:rsid w:val="00C34810"/>
    <w:rsid w:val="00C349D7"/>
    <w:rsid w:val="00C34A99"/>
    <w:rsid w:val="00C34B22"/>
    <w:rsid w:val="00C34CA1"/>
    <w:rsid w:val="00C34DD4"/>
    <w:rsid w:val="00C34FBF"/>
    <w:rsid w:val="00C35446"/>
    <w:rsid w:val="00C356DA"/>
    <w:rsid w:val="00C3579D"/>
    <w:rsid w:val="00C35A4C"/>
    <w:rsid w:val="00C35AD5"/>
    <w:rsid w:val="00C3694B"/>
    <w:rsid w:val="00C36F65"/>
    <w:rsid w:val="00C377FA"/>
    <w:rsid w:val="00C402C3"/>
    <w:rsid w:val="00C40713"/>
    <w:rsid w:val="00C407C6"/>
    <w:rsid w:val="00C40C7B"/>
    <w:rsid w:val="00C40CFB"/>
    <w:rsid w:val="00C40D69"/>
    <w:rsid w:val="00C40E87"/>
    <w:rsid w:val="00C4130A"/>
    <w:rsid w:val="00C4177F"/>
    <w:rsid w:val="00C41D21"/>
    <w:rsid w:val="00C41D46"/>
    <w:rsid w:val="00C41E54"/>
    <w:rsid w:val="00C42425"/>
    <w:rsid w:val="00C42706"/>
    <w:rsid w:val="00C429F9"/>
    <w:rsid w:val="00C42EAC"/>
    <w:rsid w:val="00C43210"/>
    <w:rsid w:val="00C4352C"/>
    <w:rsid w:val="00C436AF"/>
    <w:rsid w:val="00C43BE6"/>
    <w:rsid w:val="00C43CED"/>
    <w:rsid w:val="00C4420F"/>
    <w:rsid w:val="00C4464A"/>
    <w:rsid w:val="00C44A75"/>
    <w:rsid w:val="00C44A7F"/>
    <w:rsid w:val="00C44C2F"/>
    <w:rsid w:val="00C44D03"/>
    <w:rsid w:val="00C45C5C"/>
    <w:rsid w:val="00C45C60"/>
    <w:rsid w:val="00C45E65"/>
    <w:rsid w:val="00C4608D"/>
    <w:rsid w:val="00C460AC"/>
    <w:rsid w:val="00C460E0"/>
    <w:rsid w:val="00C4637A"/>
    <w:rsid w:val="00C46555"/>
    <w:rsid w:val="00C46F7F"/>
    <w:rsid w:val="00C4712B"/>
    <w:rsid w:val="00C47530"/>
    <w:rsid w:val="00C476AF"/>
    <w:rsid w:val="00C478F8"/>
    <w:rsid w:val="00C47D5A"/>
    <w:rsid w:val="00C47EF8"/>
    <w:rsid w:val="00C47F09"/>
    <w:rsid w:val="00C501DD"/>
    <w:rsid w:val="00C50799"/>
    <w:rsid w:val="00C50EF0"/>
    <w:rsid w:val="00C5104A"/>
    <w:rsid w:val="00C510C7"/>
    <w:rsid w:val="00C511EA"/>
    <w:rsid w:val="00C514C6"/>
    <w:rsid w:val="00C51709"/>
    <w:rsid w:val="00C51827"/>
    <w:rsid w:val="00C51A49"/>
    <w:rsid w:val="00C51AA7"/>
    <w:rsid w:val="00C51BA6"/>
    <w:rsid w:val="00C52182"/>
    <w:rsid w:val="00C52A57"/>
    <w:rsid w:val="00C52BCF"/>
    <w:rsid w:val="00C52D07"/>
    <w:rsid w:val="00C532C4"/>
    <w:rsid w:val="00C5347B"/>
    <w:rsid w:val="00C5383B"/>
    <w:rsid w:val="00C53C6B"/>
    <w:rsid w:val="00C53D78"/>
    <w:rsid w:val="00C53E8C"/>
    <w:rsid w:val="00C54696"/>
    <w:rsid w:val="00C548D5"/>
    <w:rsid w:val="00C5506B"/>
    <w:rsid w:val="00C55199"/>
    <w:rsid w:val="00C552C4"/>
    <w:rsid w:val="00C55665"/>
    <w:rsid w:val="00C55CF3"/>
    <w:rsid w:val="00C55EF8"/>
    <w:rsid w:val="00C55FBC"/>
    <w:rsid w:val="00C562B1"/>
    <w:rsid w:val="00C56674"/>
    <w:rsid w:val="00C570F8"/>
    <w:rsid w:val="00C571C9"/>
    <w:rsid w:val="00C571F7"/>
    <w:rsid w:val="00C57849"/>
    <w:rsid w:val="00C57F7D"/>
    <w:rsid w:val="00C6014B"/>
    <w:rsid w:val="00C602CA"/>
    <w:rsid w:val="00C60306"/>
    <w:rsid w:val="00C60645"/>
    <w:rsid w:val="00C60A7A"/>
    <w:rsid w:val="00C60C4A"/>
    <w:rsid w:val="00C61032"/>
    <w:rsid w:val="00C613B2"/>
    <w:rsid w:val="00C6151F"/>
    <w:rsid w:val="00C6154F"/>
    <w:rsid w:val="00C61851"/>
    <w:rsid w:val="00C61D6B"/>
    <w:rsid w:val="00C621B4"/>
    <w:rsid w:val="00C623BB"/>
    <w:rsid w:val="00C626F7"/>
    <w:rsid w:val="00C628AF"/>
    <w:rsid w:val="00C62A81"/>
    <w:rsid w:val="00C62C67"/>
    <w:rsid w:val="00C62D70"/>
    <w:rsid w:val="00C6393E"/>
    <w:rsid w:val="00C63979"/>
    <w:rsid w:val="00C63AF2"/>
    <w:rsid w:val="00C63E24"/>
    <w:rsid w:val="00C63E44"/>
    <w:rsid w:val="00C63E49"/>
    <w:rsid w:val="00C6419F"/>
    <w:rsid w:val="00C643C4"/>
    <w:rsid w:val="00C64519"/>
    <w:rsid w:val="00C64E4B"/>
    <w:rsid w:val="00C6530C"/>
    <w:rsid w:val="00C6541E"/>
    <w:rsid w:val="00C654C7"/>
    <w:rsid w:val="00C6555F"/>
    <w:rsid w:val="00C658C7"/>
    <w:rsid w:val="00C65AD5"/>
    <w:rsid w:val="00C65E0C"/>
    <w:rsid w:val="00C65F79"/>
    <w:rsid w:val="00C6687A"/>
    <w:rsid w:val="00C66B70"/>
    <w:rsid w:val="00C66CD1"/>
    <w:rsid w:val="00C6707E"/>
    <w:rsid w:val="00C6738F"/>
    <w:rsid w:val="00C673AE"/>
    <w:rsid w:val="00C674C7"/>
    <w:rsid w:val="00C679BF"/>
    <w:rsid w:val="00C67AE0"/>
    <w:rsid w:val="00C70900"/>
    <w:rsid w:val="00C709B8"/>
    <w:rsid w:val="00C70A5B"/>
    <w:rsid w:val="00C70AC4"/>
    <w:rsid w:val="00C70D50"/>
    <w:rsid w:val="00C70DA7"/>
    <w:rsid w:val="00C70E7C"/>
    <w:rsid w:val="00C711F3"/>
    <w:rsid w:val="00C712FE"/>
    <w:rsid w:val="00C71362"/>
    <w:rsid w:val="00C7170D"/>
    <w:rsid w:val="00C72480"/>
    <w:rsid w:val="00C728C2"/>
    <w:rsid w:val="00C72D44"/>
    <w:rsid w:val="00C72EF4"/>
    <w:rsid w:val="00C72FDC"/>
    <w:rsid w:val="00C73084"/>
    <w:rsid w:val="00C73A27"/>
    <w:rsid w:val="00C73DCA"/>
    <w:rsid w:val="00C73E96"/>
    <w:rsid w:val="00C74491"/>
    <w:rsid w:val="00C7471C"/>
    <w:rsid w:val="00C74A26"/>
    <w:rsid w:val="00C74CC3"/>
    <w:rsid w:val="00C74D12"/>
    <w:rsid w:val="00C74D2D"/>
    <w:rsid w:val="00C74E43"/>
    <w:rsid w:val="00C7573E"/>
    <w:rsid w:val="00C75998"/>
    <w:rsid w:val="00C759AD"/>
    <w:rsid w:val="00C759B5"/>
    <w:rsid w:val="00C75BA3"/>
    <w:rsid w:val="00C76027"/>
    <w:rsid w:val="00C76AC6"/>
    <w:rsid w:val="00C76BB0"/>
    <w:rsid w:val="00C76F07"/>
    <w:rsid w:val="00C76FB5"/>
    <w:rsid w:val="00C7707F"/>
    <w:rsid w:val="00C7751F"/>
    <w:rsid w:val="00C77617"/>
    <w:rsid w:val="00C778CE"/>
    <w:rsid w:val="00C77916"/>
    <w:rsid w:val="00C7797E"/>
    <w:rsid w:val="00C77A54"/>
    <w:rsid w:val="00C801CA"/>
    <w:rsid w:val="00C80313"/>
    <w:rsid w:val="00C8039D"/>
    <w:rsid w:val="00C80563"/>
    <w:rsid w:val="00C80617"/>
    <w:rsid w:val="00C806A7"/>
    <w:rsid w:val="00C80A93"/>
    <w:rsid w:val="00C8157D"/>
    <w:rsid w:val="00C817CD"/>
    <w:rsid w:val="00C81A1A"/>
    <w:rsid w:val="00C81A59"/>
    <w:rsid w:val="00C81BCA"/>
    <w:rsid w:val="00C8201D"/>
    <w:rsid w:val="00C8206F"/>
    <w:rsid w:val="00C8222C"/>
    <w:rsid w:val="00C822D6"/>
    <w:rsid w:val="00C8232C"/>
    <w:rsid w:val="00C824EA"/>
    <w:rsid w:val="00C8251A"/>
    <w:rsid w:val="00C82E16"/>
    <w:rsid w:val="00C830BE"/>
    <w:rsid w:val="00C84204"/>
    <w:rsid w:val="00C8440E"/>
    <w:rsid w:val="00C8444B"/>
    <w:rsid w:val="00C849B8"/>
    <w:rsid w:val="00C85409"/>
    <w:rsid w:val="00C857AD"/>
    <w:rsid w:val="00C85988"/>
    <w:rsid w:val="00C859F7"/>
    <w:rsid w:val="00C85B9F"/>
    <w:rsid w:val="00C85D1F"/>
    <w:rsid w:val="00C85D59"/>
    <w:rsid w:val="00C860E4"/>
    <w:rsid w:val="00C86426"/>
    <w:rsid w:val="00C866B1"/>
    <w:rsid w:val="00C86874"/>
    <w:rsid w:val="00C86AE9"/>
    <w:rsid w:val="00C86B65"/>
    <w:rsid w:val="00C8700B"/>
    <w:rsid w:val="00C870F8"/>
    <w:rsid w:val="00C87113"/>
    <w:rsid w:val="00C87264"/>
    <w:rsid w:val="00C874DD"/>
    <w:rsid w:val="00C87A39"/>
    <w:rsid w:val="00C87BAA"/>
    <w:rsid w:val="00C87F12"/>
    <w:rsid w:val="00C90260"/>
    <w:rsid w:val="00C9064E"/>
    <w:rsid w:val="00C90840"/>
    <w:rsid w:val="00C90B59"/>
    <w:rsid w:val="00C90CC1"/>
    <w:rsid w:val="00C90FFF"/>
    <w:rsid w:val="00C9104C"/>
    <w:rsid w:val="00C9118C"/>
    <w:rsid w:val="00C9126E"/>
    <w:rsid w:val="00C9187E"/>
    <w:rsid w:val="00C918A9"/>
    <w:rsid w:val="00C9193B"/>
    <w:rsid w:val="00C91A18"/>
    <w:rsid w:val="00C91BE3"/>
    <w:rsid w:val="00C91C6F"/>
    <w:rsid w:val="00C92063"/>
    <w:rsid w:val="00C92483"/>
    <w:rsid w:val="00C92872"/>
    <w:rsid w:val="00C92B69"/>
    <w:rsid w:val="00C92E49"/>
    <w:rsid w:val="00C92FD0"/>
    <w:rsid w:val="00C93183"/>
    <w:rsid w:val="00C934EF"/>
    <w:rsid w:val="00C937DE"/>
    <w:rsid w:val="00C939DD"/>
    <w:rsid w:val="00C93B9B"/>
    <w:rsid w:val="00C93CC8"/>
    <w:rsid w:val="00C94C9E"/>
    <w:rsid w:val="00C95031"/>
    <w:rsid w:val="00C953B7"/>
    <w:rsid w:val="00C953CF"/>
    <w:rsid w:val="00C95561"/>
    <w:rsid w:val="00C955FF"/>
    <w:rsid w:val="00C957AE"/>
    <w:rsid w:val="00C95849"/>
    <w:rsid w:val="00C959EB"/>
    <w:rsid w:val="00C95A0F"/>
    <w:rsid w:val="00C95B67"/>
    <w:rsid w:val="00C95CCA"/>
    <w:rsid w:val="00C95D4E"/>
    <w:rsid w:val="00C96470"/>
    <w:rsid w:val="00C96915"/>
    <w:rsid w:val="00C96B93"/>
    <w:rsid w:val="00C96BBB"/>
    <w:rsid w:val="00C96C76"/>
    <w:rsid w:val="00C96EFC"/>
    <w:rsid w:val="00C97012"/>
    <w:rsid w:val="00C977DE"/>
    <w:rsid w:val="00C97870"/>
    <w:rsid w:val="00C979ED"/>
    <w:rsid w:val="00C97AC4"/>
    <w:rsid w:val="00C97C48"/>
    <w:rsid w:val="00CA0216"/>
    <w:rsid w:val="00CA026D"/>
    <w:rsid w:val="00CA037F"/>
    <w:rsid w:val="00CA0DD6"/>
    <w:rsid w:val="00CA1159"/>
    <w:rsid w:val="00CA11B0"/>
    <w:rsid w:val="00CA1A0F"/>
    <w:rsid w:val="00CA20D1"/>
    <w:rsid w:val="00CA214F"/>
    <w:rsid w:val="00CA234C"/>
    <w:rsid w:val="00CA2B22"/>
    <w:rsid w:val="00CA2FCD"/>
    <w:rsid w:val="00CA3776"/>
    <w:rsid w:val="00CA3985"/>
    <w:rsid w:val="00CA3B38"/>
    <w:rsid w:val="00CA3B58"/>
    <w:rsid w:val="00CA4746"/>
    <w:rsid w:val="00CA4DDF"/>
    <w:rsid w:val="00CA507E"/>
    <w:rsid w:val="00CA51AF"/>
    <w:rsid w:val="00CA54FD"/>
    <w:rsid w:val="00CA5816"/>
    <w:rsid w:val="00CA5983"/>
    <w:rsid w:val="00CA5AFB"/>
    <w:rsid w:val="00CA5D6A"/>
    <w:rsid w:val="00CA5E58"/>
    <w:rsid w:val="00CA6058"/>
    <w:rsid w:val="00CA68C5"/>
    <w:rsid w:val="00CA6CAF"/>
    <w:rsid w:val="00CA704A"/>
    <w:rsid w:val="00CA7648"/>
    <w:rsid w:val="00CB010A"/>
    <w:rsid w:val="00CB02BD"/>
    <w:rsid w:val="00CB0308"/>
    <w:rsid w:val="00CB0436"/>
    <w:rsid w:val="00CB0E61"/>
    <w:rsid w:val="00CB12FC"/>
    <w:rsid w:val="00CB1410"/>
    <w:rsid w:val="00CB143A"/>
    <w:rsid w:val="00CB156E"/>
    <w:rsid w:val="00CB20C7"/>
    <w:rsid w:val="00CB2313"/>
    <w:rsid w:val="00CB24D2"/>
    <w:rsid w:val="00CB25A9"/>
    <w:rsid w:val="00CB3508"/>
    <w:rsid w:val="00CB3B0C"/>
    <w:rsid w:val="00CB4118"/>
    <w:rsid w:val="00CB4174"/>
    <w:rsid w:val="00CB427C"/>
    <w:rsid w:val="00CB42BA"/>
    <w:rsid w:val="00CB4583"/>
    <w:rsid w:val="00CB4898"/>
    <w:rsid w:val="00CB49C7"/>
    <w:rsid w:val="00CB4AB4"/>
    <w:rsid w:val="00CB4B1C"/>
    <w:rsid w:val="00CB4DDE"/>
    <w:rsid w:val="00CB558A"/>
    <w:rsid w:val="00CB57B5"/>
    <w:rsid w:val="00CB5D20"/>
    <w:rsid w:val="00CB5DC1"/>
    <w:rsid w:val="00CB602F"/>
    <w:rsid w:val="00CB6070"/>
    <w:rsid w:val="00CB6215"/>
    <w:rsid w:val="00CB6301"/>
    <w:rsid w:val="00CB668B"/>
    <w:rsid w:val="00CB697E"/>
    <w:rsid w:val="00CB6BC7"/>
    <w:rsid w:val="00CB7744"/>
    <w:rsid w:val="00CB7780"/>
    <w:rsid w:val="00CB77A1"/>
    <w:rsid w:val="00CB77C3"/>
    <w:rsid w:val="00CB7818"/>
    <w:rsid w:val="00CB7A3C"/>
    <w:rsid w:val="00CB7A78"/>
    <w:rsid w:val="00CB7FAE"/>
    <w:rsid w:val="00CC0D27"/>
    <w:rsid w:val="00CC19F3"/>
    <w:rsid w:val="00CC1A2F"/>
    <w:rsid w:val="00CC23A7"/>
    <w:rsid w:val="00CC23D2"/>
    <w:rsid w:val="00CC23F0"/>
    <w:rsid w:val="00CC2880"/>
    <w:rsid w:val="00CC2DF7"/>
    <w:rsid w:val="00CC2FD0"/>
    <w:rsid w:val="00CC307B"/>
    <w:rsid w:val="00CC35EC"/>
    <w:rsid w:val="00CC3752"/>
    <w:rsid w:val="00CC3F5A"/>
    <w:rsid w:val="00CC3F75"/>
    <w:rsid w:val="00CC4099"/>
    <w:rsid w:val="00CC42AE"/>
    <w:rsid w:val="00CC433A"/>
    <w:rsid w:val="00CC4A91"/>
    <w:rsid w:val="00CC4B78"/>
    <w:rsid w:val="00CC4CBA"/>
    <w:rsid w:val="00CC5103"/>
    <w:rsid w:val="00CC5355"/>
    <w:rsid w:val="00CC5576"/>
    <w:rsid w:val="00CC59DB"/>
    <w:rsid w:val="00CC5AAA"/>
    <w:rsid w:val="00CC5AE8"/>
    <w:rsid w:val="00CC635F"/>
    <w:rsid w:val="00CC6394"/>
    <w:rsid w:val="00CC639A"/>
    <w:rsid w:val="00CC67DD"/>
    <w:rsid w:val="00CC6DF7"/>
    <w:rsid w:val="00CC6E83"/>
    <w:rsid w:val="00CC7017"/>
    <w:rsid w:val="00CC7151"/>
    <w:rsid w:val="00CC737C"/>
    <w:rsid w:val="00CC74CA"/>
    <w:rsid w:val="00CC75D9"/>
    <w:rsid w:val="00CC79FA"/>
    <w:rsid w:val="00CC7FF2"/>
    <w:rsid w:val="00CD0010"/>
    <w:rsid w:val="00CD0605"/>
    <w:rsid w:val="00CD0966"/>
    <w:rsid w:val="00CD0D6B"/>
    <w:rsid w:val="00CD0DCF"/>
    <w:rsid w:val="00CD15AE"/>
    <w:rsid w:val="00CD1A16"/>
    <w:rsid w:val="00CD1A6F"/>
    <w:rsid w:val="00CD1C22"/>
    <w:rsid w:val="00CD1E18"/>
    <w:rsid w:val="00CD1E80"/>
    <w:rsid w:val="00CD2170"/>
    <w:rsid w:val="00CD2187"/>
    <w:rsid w:val="00CD2217"/>
    <w:rsid w:val="00CD24B4"/>
    <w:rsid w:val="00CD2543"/>
    <w:rsid w:val="00CD2632"/>
    <w:rsid w:val="00CD26EF"/>
    <w:rsid w:val="00CD2731"/>
    <w:rsid w:val="00CD2784"/>
    <w:rsid w:val="00CD2976"/>
    <w:rsid w:val="00CD2A86"/>
    <w:rsid w:val="00CD2BC1"/>
    <w:rsid w:val="00CD309D"/>
    <w:rsid w:val="00CD30CC"/>
    <w:rsid w:val="00CD33B7"/>
    <w:rsid w:val="00CD3572"/>
    <w:rsid w:val="00CD3804"/>
    <w:rsid w:val="00CD392C"/>
    <w:rsid w:val="00CD3A17"/>
    <w:rsid w:val="00CD3DBF"/>
    <w:rsid w:val="00CD4281"/>
    <w:rsid w:val="00CD441A"/>
    <w:rsid w:val="00CD47F8"/>
    <w:rsid w:val="00CD5373"/>
    <w:rsid w:val="00CD5408"/>
    <w:rsid w:val="00CD5938"/>
    <w:rsid w:val="00CD5972"/>
    <w:rsid w:val="00CD5C49"/>
    <w:rsid w:val="00CD5C74"/>
    <w:rsid w:val="00CD5FBC"/>
    <w:rsid w:val="00CD6C99"/>
    <w:rsid w:val="00CD6CA4"/>
    <w:rsid w:val="00CD70A8"/>
    <w:rsid w:val="00CD723A"/>
    <w:rsid w:val="00CD72C7"/>
    <w:rsid w:val="00CD7663"/>
    <w:rsid w:val="00CD78F2"/>
    <w:rsid w:val="00CD7B47"/>
    <w:rsid w:val="00CD7BFD"/>
    <w:rsid w:val="00CD7D5C"/>
    <w:rsid w:val="00CE02E5"/>
    <w:rsid w:val="00CE0445"/>
    <w:rsid w:val="00CE04EF"/>
    <w:rsid w:val="00CE0FF8"/>
    <w:rsid w:val="00CE10C7"/>
    <w:rsid w:val="00CE10C8"/>
    <w:rsid w:val="00CE10D2"/>
    <w:rsid w:val="00CE1657"/>
    <w:rsid w:val="00CE16FC"/>
    <w:rsid w:val="00CE1C9F"/>
    <w:rsid w:val="00CE1F2F"/>
    <w:rsid w:val="00CE223E"/>
    <w:rsid w:val="00CE24DC"/>
    <w:rsid w:val="00CE251E"/>
    <w:rsid w:val="00CE266E"/>
    <w:rsid w:val="00CE2742"/>
    <w:rsid w:val="00CE27D7"/>
    <w:rsid w:val="00CE28BF"/>
    <w:rsid w:val="00CE29D0"/>
    <w:rsid w:val="00CE2CE6"/>
    <w:rsid w:val="00CE31A4"/>
    <w:rsid w:val="00CE3514"/>
    <w:rsid w:val="00CE354B"/>
    <w:rsid w:val="00CE35A4"/>
    <w:rsid w:val="00CE37FA"/>
    <w:rsid w:val="00CE3B10"/>
    <w:rsid w:val="00CE406B"/>
    <w:rsid w:val="00CE41F4"/>
    <w:rsid w:val="00CE427D"/>
    <w:rsid w:val="00CE4445"/>
    <w:rsid w:val="00CE4675"/>
    <w:rsid w:val="00CE4813"/>
    <w:rsid w:val="00CE5040"/>
    <w:rsid w:val="00CE568E"/>
    <w:rsid w:val="00CE595B"/>
    <w:rsid w:val="00CE5B84"/>
    <w:rsid w:val="00CE6927"/>
    <w:rsid w:val="00CE6EDD"/>
    <w:rsid w:val="00CE7177"/>
    <w:rsid w:val="00CE72EE"/>
    <w:rsid w:val="00CE74A3"/>
    <w:rsid w:val="00CE7BCA"/>
    <w:rsid w:val="00CE7D4C"/>
    <w:rsid w:val="00CE7E16"/>
    <w:rsid w:val="00CE7F5C"/>
    <w:rsid w:val="00CE7FD2"/>
    <w:rsid w:val="00CF027F"/>
    <w:rsid w:val="00CF03D2"/>
    <w:rsid w:val="00CF0731"/>
    <w:rsid w:val="00CF0C6C"/>
    <w:rsid w:val="00CF0CB6"/>
    <w:rsid w:val="00CF0CDD"/>
    <w:rsid w:val="00CF10DC"/>
    <w:rsid w:val="00CF1117"/>
    <w:rsid w:val="00CF1940"/>
    <w:rsid w:val="00CF1F50"/>
    <w:rsid w:val="00CF1F7B"/>
    <w:rsid w:val="00CF273A"/>
    <w:rsid w:val="00CF37AC"/>
    <w:rsid w:val="00CF3A20"/>
    <w:rsid w:val="00CF424C"/>
    <w:rsid w:val="00CF47B8"/>
    <w:rsid w:val="00CF4872"/>
    <w:rsid w:val="00CF5103"/>
    <w:rsid w:val="00CF51ED"/>
    <w:rsid w:val="00CF55AE"/>
    <w:rsid w:val="00CF55D7"/>
    <w:rsid w:val="00CF596F"/>
    <w:rsid w:val="00CF65E7"/>
    <w:rsid w:val="00CF6B00"/>
    <w:rsid w:val="00CF6CC2"/>
    <w:rsid w:val="00CF7017"/>
    <w:rsid w:val="00CF7130"/>
    <w:rsid w:val="00CF729A"/>
    <w:rsid w:val="00CF7F85"/>
    <w:rsid w:val="00CF7FF0"/>
    <w:rsid w:val="00D0000D"/>
    <w:rsid w:val="00D00448"/>
    <w:rsid w:val="00D005B4"/>
    <w:rsid w:val="00D006A2"/>
    <w:rsid w:val="00D00B8D"/>
    <w:rsid w:val="00D013C3"/>
    <w:rsid w:val="00D0180B"/>
    <w:rsid w:val="00D01EF6"/>
    <w:rsid w:val="00D022D5"/>
    <w:rsid w:val="00D02361"/>
    <w:rsid w:val="00D023B6"/>
    <w:rsid w:val="00D02430"/>
    <w:rsid w:val="00D025F6"/>
    <w:rsid w:val="00D0264A"/>
    <w:rsid w:val="00D02891"/>
    <w:rsid w:val="00D02B97"/>
    <w:rsid w:val="00D03090"/>
    <w:rsid w:val="00D034C4"/>
    <w:rsid w:val="00D03B2A"/>
    <w:rsid w:val="00D03BF5"/>
    <w:rsid w:val="00D03E76"/>
    <w:rsid w:val="00D044C4"/>
    <w:rsid w:val="00D04AB6"/>
    <w:rsid w:val="00D04CD1"/>
    <w:rsid w:val="00D04F2E"/>
    <w:rsid w:val="00D05765"/>
    <w:rsid w:val="00D0584A"/>
    <w:rsid w:val="00D058C1"/>
    <w:rsid w:val="00D05A1C"/>
    <w:rsid w:val="00D05CBE"/>
    <w:rsid w:val="00D05F4C"/>
    <w:rsid w:val="00D06289"/>
    <w:rsid w:val="00D06721"/>
    <w:rsid w:val="00D06DA2"/>
    <w:rsid w:val="00D06F0D"/>
    <w:rsid w:val="00D07438"/>
    <w:rsid w:val="00D07EA4"/>
    <w:rsid w:val="00D07EE4"/>
    <w:rsid w:val="00D07F7F"/>
    <w:rsid w:val="00D101A1"/>
    <w:rsid w:val="00D10628"/>
    <w:rsid w:val="00D10FBF"/>
    <w:rsid w:val="00D11000"/>
    <w:rsid w:val="00D11031"/>
    <w:rsid w:val="00D1150F"/>
    <w:rsid w:val="00D11627"/>
    <w:rsid w:val="00D117D6"/>
    <w:rsid w:val="00D11B8E"/>
    <w:rsid w:val="00D11C48"/>
    <w:rsid w:val="00D11E35"/>
    <w:rsid w:val="00D11FDD"/>
    <w:rsid w:val="00D120A6"/>
    <w:rsid w:val="00D1213D"/>
    <w:rsid w:val="00D12448"/>
    <w:rsid w:val="00D1247B"/>
    <w:rsid w:val="00D12573"/>
    <w:rsid w:val="00D12794"/>
    <w:rsid w:val="00D1288A"/>
    <w:rsid w:val="00D12A2C"/>
    <w:rsid w:val="00D12C2C"/>
    <w:rsid w:val="00D12DE5"/>
    <w:rsid w:val="00D131AD"/>
    <w:rsid w:val="00D134C6"/>
    <w:rsid w:val="00D13676"/>
    <w:rsid w:val="00D1371E"/>
    <w:rsid w:val="00D13763"/>
    <w:rsid w:val="00D13915"/>
    <w:rsid w:val="00D1398F"/>
    <w:rsid w:val="00D13FE4"/>
    <w:rsid w:val="00D140F4"/>
    <w:rsid w:val="00D147B9"/>
    <w:rsid w:val="00D148B3"/>
    <w:rsid w:val="00D14BBA"/>
    <w:rsid w:val="00D14CE9"/>
    <w:rsid w:val="00D14EF7"/>
    <w:rsid w:val="00D14FB5"/>
    <w:rsid w:val="00D167F7"/>
    <w:rsid w:val="00D168D5"/>
    <w:rsid w:val="00D16981"/>
    <w:rsid w:val="00D169C8"/>
    <w:rsid w:val="00D16B4E"/>
    <w:rsid w:val="00D16D60"/>
    <w:rsid w:val="00D17036"/>
    <w:rsid w:val="00D17152"/>
    <w:rsid w:val="00D172A7"/>
    <w:rsid w:val="00D1749C"/>
    <w:rsid w:val="00D174DF"/>
    <w:rsid w:val="00D17518"/>
    <w:rsid w:val="00D175E2"/>
    <w:rsid w:val="00D175FA"/>
    <w:rsid w:val="00D17640"/>
    <w:rsid w:val="00D1771A"/>
    <w:rsid w:val="00D17B5F"/>
    <w:rsid w:val="00D17E33"/>
    <w:rsid w:val="00D17E74"/>
    <w:rsid w:val="00D20081"/>
    <w:rsid w:val="00D200E0"/>
    <w:rsid w:val="00D20146"/>
    <w:rsid w:val="00D207B0"/>
    <w:rsid w:val="00D20ACD"/>
    <w:rsid w:val="00D20BB5"/>
    <w:rsid w:val="00D20C1D"/>
    <w:rsid w:val="00D20D80"/>
    <w:rsid w:val="00D20E1C"/>
    <w:rsid w:val="00D21196"/>
    <w:rsid w:val="00D2159A"/>
    <w:rsid w:val="00D21AF6"/>
    <w:rsid w:val="00D21E2B"/>
    <w:rsid w:val="00D21E57"/>
    <w:rsid w:val="00D2224D"/>
    <w:rsid w:val="00D2225F"/>
    <w:rsid w:val="00D22671"/>
    <w:rsid w:val="00D22AC4"/>
    <w:rsid w:val="00D22FCA"/>
    <w:rsid w:val="00D23322"/>
    <w:rsid w:val="00D23C7F"/>
    <w:rsid w:val="00D23C98"/>
    <w:rsid w:val="00D2469A"/>
    <w:rsid w:val="00D246E6"/>
    <w:rsid w:val="00D24740"/>
    <w:rsid w:val="00D24771"/>
    <w:rsid w:val="00D25050"/>
    <w:rsid w:val="00D250AD"/>
    <w:rsid w:val="00D252C0"/>
    <w:rsid w:val="00D2531A"/>
    <w:rsid w:val="00D2598C"/>
    <w:rsid w:val="00D25A6F"/>
    <w:rsid w:val="00D25E0A"/>
    <w:rsid w:val="00D25E10"/>
    <w:rsid w:val="00D260F6"/>
    <w:rsid w:val="00D2614E"/>
    <w:rsid w:val="00D262FB"/>
    <w:rsid w:val="00D263B6"/>
    <w:rsid w:val="00D267C8"/>
    <w:rsid w:val="00D26C57"/>
    <w:rsid w:val="00D26EA1"/>
    <w:rsid w:val="00D27262"/>
    <w:rsid w:val="00D27510"/>
    <w:rsid w:val="00D275F3"/>
    <w:rsid w:val="00D27679"/>
    <w:rsid w:val="00D277ED"/>
    <w:rsid w:val="00D2788F"/>
    <w:rsid w:val="00D3035C"/>
    <w:rsid w:val="00D30A56"/>
    <w:rsid w:val="00D30C91"/>
    <w:rsid w:val="00D30F41"/>
    <w:rsid w:val="00D314DB"/>
    <w:rsid w:val="00D31890"/>
    <w:rsid w:val="00D31921"/>
    <w:rsid w:val="00D31A4C"/>
    <w:rsid w:val="00D31A57"/>
    <w:rsid w:val="00D31CE9"/>
    <w:rsid w:val="00D3204A"/>
    <w:rsid w:val="00D32374"/>
    <w:rsid w:val="00D324C6"/>
    <w:rsid w:val="00D326A3"/>
    <w:rsid w:val="00D326B7"/>
    <w:rsid w:val="00D326BB"/>
    <w:rsid w:val="00D32848"/>
    <w:rsid w:val="00D32A62"/>
    <w:rsid w:val="00D32BDE"/>
    <w:rsid w:val="00D32E0C"/>
    <w:rsid w:val="00D32E7F"/>
    <w:rsid w:val="00D330D8"/>
    <w:rsid w:val="00D3345C"/>
    <w:rsid w:val="00D335D6"/>
    <w:rsid w:val="00D3383A"/>
    <w:rsid w:val="00D3389D"/>
    <w:rsid w:val="00D33E8B"/>
    <w:rsid w:val="00D3454C"/>
    <w:rsid w:val="00D34947"/>
    <w:rsid w:val="00D34ACC"/>
    <w:rsid w:val="00D34EB9"/>
    <w:rsid w:val="00D35154"/>
    <w:rsid w:val="00D358C7"/>
    <w:rsid w:val="00D35A4B"/>
    <w:rsid w:val="00D35D0F"/>
    <w:rsid w:val="00D35E2A"/>
    <w:rsid w:val="00D3664C"/>
    <w:rsid w:val="00D36737"/>
    <w:rsid w:val="00D36A93"/>
    <w:rsid w:val="00D36E1F"/>
    <w:rsid w:val="00D373E1"/>
    <w:rsid w:val="00D3750D"/>
    <w:rsid w:val="00D3760F"/>
    <w:rsid w:val="00D37680"/>
    <w:rsid w:val="00D37B7C"/>
    <w:rsid w:val="00D37D1E"/>
    <w:rsid w:val="00D37D82"/>
    <w:rsid w:val="00D37FDE"/>
    <w:rsid w:val="00D400E8"/>
    <w:rsid w:val="00D402BF"/>
    <w:rsid w:val="00D4050F"/>
    <w:rsid w:val="00D407B4"/>
    <w:rsid w:val="00D40D34"/>
    <w:rsid w:val="00D40F62"/>
    <w:rsid w:val="00D412ED"/>
    <w:rsid w:val="00D41335"/>
    <w:rsid w:val="00D41686"/>
    <w:rsid w:val="00D41830"/>
    <w:rsid w:val="00D41A88"/>
    <w:rsid w:val="00D41CC3"/>
    <w:rsid w:val="00D41DF1"/>
    <w:rsid w:val="00D41FC6"/>
    <w:rsid w:val="00D42385"/>
    <w:rsid w:val="00D42511"/>
    <w:rsid w:val="00D426E5"/>
    <w:rsid w:val="00D42875"/>
    <w:rsid w:val="00D42967"/>
    <w:rsid w:val="00D431AE"/>
    <w:rsid w:val="00D4322B"/>
    <w:rsid w:val="00D437BF"/>
    <w:rsid w:val="00D437F6"/>
    <w:rsid w:val="00D439BE"/>
    <w:rsid w:val="00D43AD7"/>
    <w:rsid w:val="00D440AA"/>
    <w:rsid w:val="00D440D5"/>
    <w:rsid w:val="00D4426C"/>
    <w:rsid w:val="00D442B8"/>
    <w:rsid w:val="00D44669"/>
    <w:rsid w:val="00D44675"/>
    <w:rsid w:val="00D44777"/>
    <w:rsid w:val="00D447C1"/>
    <w:rsid w:val="00D45431"/>
    <w:rsid w:val="00D45A7A"/>
    <w:rsid w:val="00D45B66"/>
    <w:rsid w:val="00D45DF6"/>
    <w:rsid w:val="00D4658C"/>
    <w:rsid w:val="00D4666F"/>
    <w:rsid w:val="00D469E1"/>
    <w:rsid w:val="00D46ECD"/>
    <w:rsid w:val="00D4702B"/>
    <w:rsid w:val="00D474C9"/>
    <w:rsid w:val="00D476CC"/>
    <w:rsid w:val="00D47930"/>
    <w:rsid w:val="00D47D59"/>
    <w:rsid w:val="00D47D72"/>
    <w:rsid w:val="00D50339"/>
    <w:rsid w:val="00D503A9"/>
    <w:rsid w:val="00D5057F"/>
    <w:rsid w:val="00D50664"/>
    <w:rsid w:val="00D50843"/>
    <w:rsid w:val="00D50C8A"/>
    <w:rsid w:val="00D50E1F"/>
    <w:rsid w:val="00D510D7"/>
    <w:rsid w:val="00D5137B"/>
    <w:rsid w:val="00D513D0"/>
    <w:rsid w:val="00D514E3"/>
    <w:rsid w:val="00D51C97"/>
    <w:rsid w:val="00D51DA7"/>
    <w:rsid w:val="00D51E43"/>
    <w:rsid w:val="00D5253C"/>
    <w:rsid w:val="00D52A80"/>
    <w:rsid w:val="00D52C2A"/>
    <w:rsid w:val="00D52C88"/>
    <w:rsid w:val="00D52F11"/>
    <w:rsid w:val="00D52F92"/>
    <w:rsid w:val="00D5313F"/>
    <w:rsid w:val="00D53173"/>
    <w:rsid w:val="00D537F0"/>
    <w:rsid w:val="00D5428A"/>
    <w:rsid w:val="00D5431E"/>
    <w:rsid w:val="00D54438"/>
    <w:rsid w:val="00D54726"/>
    <w:rsid w:val="00D54A00"/>
    <w:rsid w:val="00D54C2B"/>
    <w:rsid w:val="00D54E04"/>
    <w:rsid w:val="00D5534B"/>
    <w:rsid w:val="00D553D8"/>
    <w:rsid w:val="00D55937"/>
    <w:rsid w:val="00D55AE6"/>
    <w:rsid w:val="00D55CFD"/>
    <w:rsid w:val="00D55DBB"/>
    <w:rsid w:val="00D562DE"/>
    <w:rsid w:val="00D566B9"/>
    <w:rsid w:val="00D56903"/>
    <w:rsid w:val="00D56E15"/>
    <w:rsid w:val="00D56E52"/>
    <w:rsid w:val="00D56FD7"/>
    <w:rsid w:val="00D57250"/>
    <w:rsid w:val="00D572F0"/>
    <w:rsid w:val="00D5745C"/>
    <w:rsid w:val="00D5756C"/>
    <w:rsid w:val="00D57AD0"/>
    <w:rsid w:val="00D57BFC"/>
    <w:rsid w:val="00D57F5B"/>
    <w:rsid w:val="00D60B28"/>
    <w:rsid w:val="00D60B6E"/>
    <w:rsid w:val="00D60CBE"/>
    <w:rsid w:val="00D60D68"/>
    <w:rsid w:val="00D60F67"/>
    <w:rsid w:val="00D611D4"/>
    <w:rsid w:val="00D6122B"/>
    <w:rsid w:val="00D612A3"/>
    <w:rsid w:val="00D613D8"/>
    <w:rsid w:val="00D6141D"/>
    <w:rsid w:val="00D6143E"/>
    <w:rsid w:val="00D62365"/>
    <w:rsid w:val="00D623AD"/>
    <w:rsid w:val="00D623D2"/>
    <w:rsid w:val="00D62A5E"/>
    <w:rsid w:val="00D62E1F"/>
    <w:rsid w:val="00D630AC"/>
    <w:rsid w:val="00D6351D"/>
    <w:rsid w:val="00D635B5"/>
    <w:rsid w:val="00D6367B"/>
    <w:rsid w:val="00D63BFC"/>
    <w:rsid w:val="00D63F9D"/>
    <w:rsid w:val="00D63FA7"/>
    <w:rsid w:val="00D6464C"/>
    <w:rsid w:val="00D648E6"/>
    <w:rsid w:val="00D64BE0"/>
    <w:rsid w:val="00D6517D"/>
    <w:rsid w:val="00D653C6"/>
    <w:rsid w:val="00D65FA0"/>
    <w:rsid w:val="00D661BC"/>
    <w:rsid w:val="00D6687F"/>
    <w:rsid w:val="00D66A46"/>
    <w:rsid w:val="00D66A6D"/>
    <w:rsid w:val="00D66C70"/>
    <w:rsid w:val="00D66E56"/>
    <w:rsid w:val="00D66F23"/>
    <w:rsid w:val="00D66F94"/>
    <w:rsid w:val="00D6704C"/>
    <w:rsid w:val="00D6714B"/>
    <w:rsid w:val="00D67562"/>
    <w:rsid w:val="00D678EB"/>
    <w:rsid w:val="00D67E02"/>
    <w:rsid w:val="00D67F00"/>
    <w:rsid w:val="00D67FBF"/>
    <w:rsid w:val="00D701C9"/>
    <w:rsid w:val="00D707F9"/>
    <w:rsid w:val="00D70882"/>
    <w:rsid w:val="00D70AB9"/>
    <w:rsid w:val="00D70F5E"/>
    <w:rsid w:val="00D71829"/>
    <w:rsid w:val="00D71833"/>
    <w:rsid w:val="00D71C18"/>
    <w:rsid w:val="00D71C9A"/>
    <w:rsid w:val="00D71EA2"/>
    <w:rsid w:val="00D71F8C"/>
    <w:rsid w:val="00D72398"/>
    <w:rsid w:val="00D7252B"/>
    <w:rsid w:val="00D72570"/>
    <w:rsid w:val="00D726BE"/>
    <w:rsid w:val="00D72AD7"/>
    <w:rsid w:val="00D7358A"/>
    <w:rsid w:val="00D737AD"/>
    <w:rsid w:val="00D73844"/>
    <w:rsid w:val="00D73940"/>
    <w:rsid w:val="00D73A67"/>
    <w:rsid w:val="00D73FF6"/>
    <w:rsid w:val="00D74096"/>
    <w:rsid w:val="00D743C8"/>
    <w:rsid w:val="00D74537"/>
    <w:rsid w:val="00D745E9"/>
    <w:rsid w:val="00D74C55"/>
    <w:rsid w:val="00D74C77"/>
    <w:rsid w:val="00D74CDC"/>
    <w:rsid w:val="00D7529D"/>
    <w:rsid w:val="00D754F0"/>
    <w:rsid w:val="00D756BE"/>
    <w:rsid w:val="00D75A4F"/>
    <w:rsid w:val="00D75D0D"/>
    <w:rsid w:val="00D75F9F"/>
    <w:rsid w:val="00D7632F"/>
    <w:rsid w:val="00D763AE"/>
    <w:rsid w:val="00D76430"/>
    <w:rsid w:val="00D766C6"/>
    <w:rsid w:val="00D76A95"/>
    <w:rsid w:val="00D76B0B"/>
    <w:rsid w:val="00D76F3E"/>
    <w:rsid w:val="00D77030"/>
    <w:rsid w:val="00D7744B"/>
    <w:rsid w:val="00D77F63"/>
    <w:rsid w:val="00D80255"/>
    <w:rsid w:val="00D80477"/>
    <w:rsid w:val="00D8084C"/>
    <w:rsid w:val="00D808AE"/>
    <w:rsid w:val="00D809FB"/>
    <w:rsid w:val="00D80B67"/>
    <w:rsid w:val="00D80C1C"/>
    <w:rsid w:val="00D80DD5"/>
    <w:rsid w:val="00D80F0D"/>
    <w:rsid w:val="00D810B3"/>
    <w:rsid w:val="00D81235"/>
    <w:rsid w:val="00D8142F"/>
    <w:rsid w:val="00D81486"/>
    <w:rsid w:val="00D8166C"/>
    <w:rsid w:val="00D81D12"/>
    <w:rsid w:val="00D820A2"/>
    <w:rsid w:val="00D82373"/>
    <w:rsid w:val="00D826CB"/>
    <w:rsid w:val="00D82B35"/>
    <w:rsid w:val="00D82C81"/>
    <w:rsid w:val="00D82E42"/>
    <w:rsid w:val="00D82F90"/>
    <w:rsid w:val="00D83032"/>
    <w:rsid w:val="00D830A3"/>
    <w:rsid w:val="00D833F1"/>
    <w:rsid w:val="00D83671"/>
    <w:rsid w:val="00D83699"/>
    <w:rsid w:val="00D83D4E"/>
    <w:rsid w:val="00D83D61"/>
    <w:rsid w:val="00D84204"/>
    <w:rsid w:val="00D84505"/>
    <w:rsid w:val="00D84511"/>
    <w:rsid w:val="00D84576"/>
    <w:rsid w:val="00D84865"/>
    <w:rsid w:val="00D84C88"/>
    <w:rsid w:val="00D84F19"/>
    <w:rsid w:val="00D84F2A"/>
    <w:rsid w:val="00D84F74"/>
    <w:rsid w:val="00D85017"/>
    <w:rsid w:val="00D85199"/>
    <w:rsid w:val="00D852AB"/>
    <w:rsid w:val="00D852AD"/>
    <w:rsid w:val="00D8549A"/>
    <w:rsid w:val="00D85546"/>
    <w:rsid w:val="00D8564A"/>
    <w:rsid w:val="00D85781"/>
    <w:rsid w:val="00D8586D"/>
    <w:rsid w:val="00D85876"/>
    <w:rsid w:val="00D860B5"/>
    <w:rsid w:val="00D86245"/>
    <w:rsid w:val="00D8640F"/>
    <w:rsid w:val="00D86B2A"/>
    <w:rsid w:val="00D86C38"/>
    <w:rsid w:val="00D87034"/>
    <w:rsid w:val="00D87192"/>
    <w:rsid w:val="00D87326"/>
    <w:rsid w:val="00D87516"/>
    <w:rsid w:val="00D877F9"/>
    <w:rsid w:val="00D87AA1"/>
    <w:rsid w:val="00D87F31"/>
    <w:rsid w:val="00D87F98"/>
    <w:rsid w:val="00D904CA"/>
    <w:rsid w:val="00D90555"/>
    <w:rsid w:val="00D9074D"/>
    <w:rsid w:val="00D9087A"/>
    <w:rsid w:val="00D909E2"/>
    <w:rsid w:val="00D90E30"/>
    <w:rsid w:val="00D91187"/>
    <w:rsid w:val="00D915BA"/>
    <w:rsid w:val="00D916DB"/>
    <w:rsid w:val="00D91987"/>
    <w:rsid w:val="00D925C2"/>
    <w:rsid w:val="00D92970"/>
    <w:rsid w:val="00D92CE7"/>
    <w:rsid w:val="00D92D91"/>
    <w:rsid w:val="00D92EE6"/>
    <w:rsid w:val="00D94049"/>
    <w:rsid w:val="00D94103"/>
    <w:rsid w:val="00D94434"/>
    <w:rsid w:val="00D9475F"/>
    <w:rsid w:val="00D94938"/>
    <w:rsid w:val="00D94A62"/>
    <w:rsid w:val="00D94BD9"/>
    <w:rsid w:val="00D94E79"/>
    <w:rsid w:val="00D94F79"/>
    <w:rsid w:val="00D9548F"/>
    <w:rsid w:val="00D9575F"/>
    <w:rsid w:val="00D95882"/>
    <w:rsid w:val="00D95B6E"/>
    <w:rsid w:val="00D95E4B"/>
    <w:rsid w:val="00D95F32"/>
    <w:rsid w:val="00D9602D"/>
    <w:rsid w:val="00D96CCE"/>
    <w:rsid w:val="00D96D66"/>
    <w:rsid w:val="00D96D7F"/>
    <w:rsid w:val="00D96E84"/>
    <w:rsid w:val="00D97241"/>
    <w:rsid w:val="00D976DF"/>
    <w:rsid w:val="00D978D9"/>
    <w:rsid w:val="00D97B16"/>
    <w:rsid w:val="00DA0557"/>
    <w:rsid w:val="00DA08D6"/>
    <w:rsid w:val="00DA0B10"/>
    <w:rsid w:val="00DA0B50"/>
    <w:rsid w:val="00DA0E12"/>
    <w:rsid w:val="00DA1537"/>
    <w:rsid w:val="00DA17A3"/>
    <w:rsid w:val="00DA1E2E"/>
    <w:rsid w:val="00DA266E"/>
    <w:rsid w:val="00DA28C0"/>
    <w:rsid w:val="00DA2C30"/>
    <w:rsid w:val="00DA2E38"/>
    <w:rsid w:val="00DA2EF8"/>
    <w:rsid w:val="00DA2F53"/>
    <w:rsid w:val="00DA3088"/>
    <w:rsid w:val="00DA31FD"/>
    <w:rsid w:val="00DA321E"/>
    <w:rsid w:val="00DA324D"/>
    <w:rsid w:val="00DA3BB6"/>
    <w:rsid w:val="00DA3BFF"/>
    <w:rsid w:val="00DA3CAE"/>
    <w:rsid w:val="00DA3CCF"/>
    <w:rsid w:val="00DA3EB3"/>
    <w:rsid w:val="00DA4030"/>
    <w:rsid w:val="00DA4126"/>
    <w:rsid w:val="00DA4351"/>
    <w:rsid w:val="00DA4394"/>
    <w:rsid w:val="00DA45EE"/>
    <w:rsid w:val="00DA466C"/>
    <w:rsid w:val="00DA4E8E"/>
    <w:rsid w:val="00DA5294"/>
    <w:rsid w:val="00DA5422"/>
    <w:rsid w:val="00DA550A"/>
    <w:rsid w:val="00DA5682"/>
    <w:rsid w:val="00DA5AB9"/>
    <w:rsid w:val="00DA5EB2"/>
    <w:rsid w:val="00DA6A3A"/>
    <w:rsid w:val="00DA6DA1"/>
    <w:rsid w:val="00DA6E27"/>
    <w:rsid w:val="00DA7039"/>
    <w:rsid w:val="00DA7166"/>
    <w:rsid w:val="00DA73E6"/>
    <w:rsid w:val="00DA7442"/>
    <w:rsid w:val="00DA76AA"/>
    <w:rsid w:val="00DA7743"/>
    <w:rsid w:val="00DA79ED"/>
    <w:rsid w:val="00DA7F4D"/>
    <w:rsid w:val="00DA7FDF"/>
    <w:rsid w:val="00DA7FF0"/>
    <w:rsid w:val="00DB001A"/>
    <w:rsid w:val="00DB026D"/>
    <w:rsid w:val="00DB03E0"/>
    <w:rsid w:val="00DB0637"/>
    <w:rsid w:val="00DB09CF"/>
    <w:rsid w:val="00DB1CBD"/>
    <w:rsid w:val="00DB20B4"/>
    <w:rsid w:val="00DB23E7"/>
    <w:rsid w:val="00DB2B49"/>
    <w:rsid w:val="00DB2C24"/>
    <w:rsid w:val="00DB311A"/>
    <w:rsid w:val="00DB32D3"/>
    <w:rsid w:val="00DB3B3D"/>
    <w:rsid w:val="00DB3EA4"/>
    <w:rsid w:val="00DB3F5A"/>
    <w:rsid w:val="00DB4197"/>
    <w:rsid w:val="00DB4372"/>
    <w:rsid w:val="00DB4393"/>
    <w:rsid w:val="00DB48F1"/>
    <w:rsid w:val="00DB4A29"/>
    <w:rsid w:val="00DB4C17"/>
    <w:rsid w:val="00DB4CF5"/>
    <w:rsid w:val="00DB4E5B"/>
    <w:rsid w:val="00DB4EBA"/>
    <w:rsid w:val="00DB4FBA"/>
    <w:rsid w:val="00DB51A1"/>
    <w:rsid w:val="00DB5331"/>
    <w:rsid w:val="00DB5416"/>
    <w:rsid w:val="00DB591A"/>
    <w:rsid w:val="00DB5D6A"/>
    <w:rsid w:val="00DB644C"/>
    <w:rsid w:val="00DB6962"/>
    <w:rsid w:val="00DB6B80"/>
    <w:rsid w:val="00DB6BF5"/>
    <w:rsid w:val="00DB70CD"/>
    <w:rsid w:val="00DB7274"/>
    <w:rsid w:val="00DB7657"/>
    <w:rsid w:val="00DB76F0"/>
    <w:rsid w:val="00DB779B"/>
    <w:rsid w:val="00DB798C"/>
    <w:rsid w:val="00DC03A9"/>
    <w:rsid w:val="00DC08AD"/>
    <w:rsid w:val="00DC0B82"/>
    <w:rsid w:val="00DC0C2B"/>
    <w:rsid w:val="00DC126B"/>
    <w:rsid w:val="00DC15A0"/>
    <w:rsid w:val="00DC16A8"/>
    <w:rsid w:val="00DC2194"/>
    <w:rsid w:val="00DC22D0"/>
    <w:rsid w:val="00DC2B00"/>
    <w:rsid w:val="00DC2B54"/>
    <w:rsid w:val="00DC3AC2"/>
    <w:rsid w:val="00DC3D5E"/>
    <w:rsid w:val="00DC3F33"/>
    <w:rsid w:val="00DC4169"/>
    <w:rsid w:val="00DC46FB"/>
    <w:rsid w:val="00DC4C59"/>
    <w:rsid w:val="00DC4C73"/>
    <w:rsid w:val="00DC51F9"/>
    <w:rsid w:val="00DC5428"/>
    <w:rsid w:val="00DC62C6"/>
    <w:rsid w:val="00DC63B4"/>
    <w:rsid w:val="00DC659A"/>
    <w:rsid w:val="00DC675D"/>
    <w:rsid w:val="00DC6B7B"/>
    <w:rsid w:val="00DC6CBA"/>
    <w:rsid w:val="00DC735E"/>
    <w:rsid w:val="00DC7387"/>
    <w:rsid w:val="00DC7545"/>
    <w:rsid w:val="00DC786A"/>
    <w:rsid w:val="00DC7FDB"/>
    <w:rsid w:val="00DD0107"/>
    <w:rsid w:val="00DD01D0"/>
    <w:rsid w:val="00DD047C"/>
    <w:rsid w:val="00DD06E3"/>
    <w:rsid w:val="00DD0A99"/>
    <w:rsid w:val="00DD0AB8"/>
    <w:rsid w:val="00DD0E2D"/>
    <w:rsid w:val="00DD0E85"/>
    <w:rsid w:val="00DD1335"/>
    <w:rsid w:val="00DD143F"/>
    <w:rsid w:val="00DD1471"/>
    <w:rsid w:val="00DD1592"/>
    <w:rsid w:val="00DD1FBB"/>
    <w:rsid w:val="00DD2265"/>
    <w:rsid w:val="00DD25AE"/>
    <w:rsid w:val="00DD270E"/>
    <w:rsid w:val="00DD283A"/>
    <w:rsid w:val="00DD2AC5"/>
    <w:rsid w:val="00DD2E63"/>
    <w:rsid w:val="00DD3681"/>
    <w:rsid w:val="00DD36DA"/>
    <w:rsid w:val="00DD3849"/>
    <w:rsid w:val="00DD395E"/>
    <w:rsid w:val="00DD3A9B"/>
    <w:rsid w:val="00DD3CA1"/>
    <w:rsid w:val="00DD3EA4"/>
    <w:rsid w:val="00DD4194"/>
    <w:rsid w:val="00DD45CD"/>
    <w:rsid w:val="00DD4A1B"/>
    <w:rsid w:val="00DD4C58"/>
    <w:rsid w:val="00DD503F"/>
    <w:rsid w:val="00DD5384"/>
    <w:rsid w:val="00DD5448"/>
    <w:rsid w:val="00DD5486"/>
    <w:rsid w:val="00DD5C8B"/>
    <w:rsid w:val="00DD6010"/>
    <w:rsid w:val="00DD606F"/>
    <w:rsid w:val="00DD634C"/>
    <w:rsid w:val="00DD6472"/>
    <w:rsid w:val="00DD6599"/>
    <w:rsid w:val="00DD6C26"/>
    <w:rsid w:val="00DD6DB5"/>
    <w:rsid w:val="00DD6F22"/>
    <w:rsid w:val="00DD75C7"/>
    <w:rsid w:val="00DD75EF"/>
    <w:rsid w:val="00DD778E"/>
    <w:rsid w:val="00DD7805"/>
    <w:rsid w:val="00DD7951"/>
    <w:rsid w:val="00DD7BDC"/>
    <w:rsid w:val="00DD7D64"/>
    <w:rsid w:val="00DD7DF2"/>
    <w:rsid w:val="00DE03AF"/>
    <w:rsid w:val="00DE0BCF"/>
    <w:rsid w:val="00DE1265"/>
    <w:rsid w:val="00DE12D0"/>
    <w:rsid w:val="00DE12F9"/>
    <w:rsid w:val="00DE14A3"/>
    <w:rsid w:val="00DE1649"/>
    <w:rsid w:val="00DE18E7"/>
    <w:rsid w:val="00DE1D9D"/>
    <w:rsid w:val="00DE1EF7"/>
    <w:rsid w:val="00DE2AF3"/>
    <w:rsid w:val="00DE2C8B"/>
    <w:rsid w:val="00DE2F49"/>
    <w:rsid w:val="00DE327D"/>
    <w:rsid w:val="00DE34FD"/>
    <w:rsid w:val="00DE35F6"/>
    <w:rsid w:val="00DE3A5D"/>
    <w:rsid w:val="00DE3B09"/>
    <w:rsid w:val="00DE3D60"/>
    <w:rsid w:val="00DE3FEB"/>
    <w:rsid w:val="00DE433C"/>
    <w:rsid w:val="00DE4DEB"/>
    <w:rsid w:val="00DE5159"/>
    <w:rsid w:val="00DE5416"/>
    <w:rsid w:val="00DE5AED"/>
    <w:rsid w:val="00DE5C44"/>
    <w:rsid w:val="00DE5DE8"/>
    <w:rsid w:val="00DE5F1C"/>
    <w:rsid w:val="00DE5F64"/>
    <w:rsid w:val="00DE6140"/>
    <w:rsid w:val="00DE66BF"/>
    <w:rsid w:val="00DE69F6"/>
    <w:rsid w:val="00DE6D18"/>
    <w:rsid w:val="00DE6D73"/>
    <w:rsid w:val="00DE6E40"/>
    <w:rsid w:val="00DE6EA7"/>
    <w:rsid w:val="00DE6F2D"/>
    <w:rsid w:val="00DE73EC"/>
    <w:rsid w:val="00DE7523"/>
    <w:rsid w:val="00DE7755"/>
    <w:rsid w:val="00DE77F3"/>
    <w:rsid w:val="00DE79F6"/>
    <w:rsid w:val="00DE7BAF"/>
    <w:rsid w:val="00DF0695"/>
    <w:rsid w:val="00DF0B5B"/>
    <w:rsid w:val="00DF0B84"/>
    <w:rsid w:val="00DF0C42"/>
    <w:rsid w:val="00DF0F3A"/>
    <w:rsid w:val="00DF1094"/>
    <w:rsid w:val="00DF1305"/>
    <w:rsid w:val="00DF1517"/>
    <w:rsid w:val="00DF1BEF"/>
    <w:rsid w:val="00DF1CA5"/>
    <w:rsid w:val="00DF25D5"/>
    <w:rsid w:val="00DF28D8"/>
    <w:rsid w:val="00DF2C6F"/>
    <w:rsid w:val="00DF2FDB"/>
    <w:rsid w:val="00DF317B"/>
    <w:rsid w:val="00DF36A0"/>
    <w:rsid w:val="00DF3AF1"/>
    <w:rsid w:val="00DF3CD7"/>
    <w:rsid w:val="00DF3CF4"/>
    <w:rsid w:val="00DF41CB"/>
    <w:rsid w:val="00DF4272"/>
    <w:rsid w:val="00DF4429"/>
    <w:rsid w:val="00DF4489"/>
    <w:rsid w:val="00DF4562"/>
    <w:rsid w:val="00DF489D"/>
    <w:rsid w:val="00DF4C23"/>
    <w:rsid w:val="00DF5385"/>
    <w:rsid w:val="00DF580B"/>
    <w:rsid w:val="00DF580E"/>
    <w:rsid w:val="00DF5B55"/>
    <w:rsid w:val="00DF5C9C"/>
    <w:rsid w:val="00DF5DC4"/>
    <w:rsid w:val="00DF5FF7"/>
    <w:rsid w:val="00DF6083"/>
    <w:rsid w:val="00DF61FD"/>
    <w:rsid w:val="00DF6416"/>
    <w:rsid w:val="00DF656A"/>
    <w:rsid w:val="00DF6645"/>
    <w:rsid w:val="00DF688B"/>
    <w:rsid w:val="00DF6B5E"/>
    <w:rsid w:val="00DF6D6A"/>
    <w:rsid w:val="00DF6F7E"/>
    <w:rsid w:val="00DF6FF6"/>
    <w:rsid w:val="00DF764C"/>
    <w:rsid w:val="00DF77BA"/>
    <w:rsid w:val="00E003CD"/>
    <w:rsid w:val="00E006BA"/>
    <w:rsid w:val="00E00779"/>
    <w:rsid w:val="00E00C1F"/>
    <w:rsid w:val="00E00F7B"/>
    <w:rsid w:val="00E00FCA"/>
    <w:rsid w:val="00E0120B"/>
    <w:rsid w:val="00E01335"/>
    <w:rsid w:val="00E01F80"/>
    <w:rsid w:val="00E02869"/>
    <w:rsid w:val="00E028EC"/>
    <w:rsid w:val="00E02A16"/>
    <w:rsid w:val="00E02CDD"/>
    <w:rsid w:val="00E02F25"/>
    <w:rsid w:val="00E0321A"/>
    <w:rsid w:val="00E03284"/>
    <w:rsid w:val="00E0354D"/>
    <w:rsid w:val="00E03C05"/>
    <w:rsid w:val="00E03D17"/>
    <w:rsid w:val="00E03F71"/>
    <w:rsid w:val="00E03FA3"/>
    <w:rsid w:val="00E041D3"/>
    <w:rsid w:val="00E04573"/>
    <w:rsid w:val="00E047B7"/>
    <w:rsid w:val="00E04BE9"/>
    <w:rsid w:val="00E04EB9"/>
    <w:rsid w:val="00E04EC3"/>
    <w:rsid w:val="00E04ECB"/>
    <w:rsid w:val="00E05054"/>
    <w:rsid w:val="00E052DE"/>
    <w:rsid w:val="00E054D0"/>
    <w:rsid w:val="00E0552F"/>
    <w:rsid w:val="00E055AD"/>
    <w:rsid w:val="00E059F7"/>
    <w:rsid w:val="00E05E36"/>
    <w:rsid w:val="00E063F9"/>
    <w:rsid w:val="00E06BAA"/>
    <w:rsid w:val="00E06D3C"/>
    <w:rsid w:val="00E072C2"/>
    <w:rsid w:val="00E074BC"/>
    <w:rsid w:val="00E0757C"/>
    <w:rsid w:val="00E0761A"/>
    <w:rsid w:val="00E10147"/>
    <w:rsid w:val="00E10173"/>
    <w:rsid w:val="00E1027B"/>
    <w:rsid w:val="00E1050B"/>
    <w:rsid w:val="00E106F4"/>
    <w:rsid w:val="00E10707"/>
    <w:rsid w:val="00E108A7"/>
    <w:rsid w:val="00E10A25"/>
    <w:rsid w:val="00E10EE9"/>
    <w:rsid w:val="00E11037"/>
    <w:rsid w:val="00E113E0"/>
    <w:rsid w:val="00E11527"/>
    <w:rsid w:val="00E1212A"/>
    <w:rsid w:val="00E12732"/>
    <w:rsid w:val="00E12C3D"/>
    <w:rsid w:val="00E12D95"/>
    <w:rsid w:val="00E12E14"/>
    <w:rsid w:val="00E13214"/>
    <w:rsid w:val="00E13581"/>
    <w:rsid w:val="00E137F7"/>
    <w:rsid w:val="00E1404F"/>
    <w:rsid w:val="00E140C7"/>
    <w:rsid w:val="00E14367"/>
    <w:rsid w:val="00E14772"/>
    <w:rsid w:val="00E14AAB"/>
    <w:rsid w:val="00E14AC3"/>
    <w:rsid w:val="00E14CF3"/>
    <w:rsid w:val="00E14EB3"/>
    <w:rsid w:val="00E15658"/>
    <w:rsid w:val="00E161C4"/>
    <w:rsid w:val="00E1667F"/>
    <w:rsid w:val="00E16B24"/>
    <w:rsid w:val="00E16DE4"/>
    <w:rsid w:val="00E17456"/>
    <w:rsid w:val="00E179B5"/>
    <w:rsid w:val="00E17A08"/>
    <w:rsid w:val="00E17E72"/>
    <w:rsid w:val="00E2057B"/>
    <w:rsid w:val="00E2059D"/>
    <w:rsid w:val="00E2158C"/>
    <w:rsid w:val="00E21889"/>
    <w:rsid w:val="00E21A97"/>
    <w:rsid w:val="00E21D35"/>
    <w:rsid w:val="00E2214E"/>
    <w:rsid w:val="00E224DD"/>
    <w:rsid w:val="00E225F1"/>
    <w:rsid w:val="00E2274E"/>
    <w:rsid w:val="00E2275F"/>
    <w:rsid w:val="00E23450"/>
    <w:rsid w:val="00E23D4D"/>
    <w:rsid w:val="00E23E21"/>
    <w:rsid w:val="00E24844"/>
    <w:rsid w:val="00E24A59"/>
    <w:rsid w:val="00E24ABA"/>
    <w:rsid w:val="00E24D60"/>
    <w:rsid w:val="00E250CB"/>
    <w:rsid w:val="00E250F9"/>
    <w:rsid w:val="00E25167"/>
    <w:rsid w:val="00E253B7"/>
    <w:rsid w:val="00E254EA"/>
    <w:rsid w:val="00E25620"/>
    <w:rsid w:val="00E258C1"/>
    <w:rsid w:val="00E25AA3"/>
    <w:rsid w:val="00E26253"/>
    <w:rsid w:val="00E262AE"/>
    <w:rsid w:val="00E2644A"/>
    <w:rsid w:val="00E26644"/>
    <w:rsid w:val="00E26710"/>
    <w:rsid w:val="00E267DB"/>
    <w:rsid w:val="00E26A1E"/>
    <w:rsid w:val="00E26C16"/>
    <w:rsid w:val="00E27050"/>
    <w:rsid w:val="00E27074"/>
    <w:rsid w:val="00E272A1"/>
    <w:rsid w:val="00E27852"/>
    <w:rsid w:val="00E27959"/>
    <w:rsid w:val="00E279D4"/>
    <w:rsid w:val="00E27A06"/>
    <w:rsid w:val="00E27D28"/>
    <w:rsid w:val="00E27D7F"/>
    <w:rsid w:val="00E30076"/>
    <w:rsid w:val="00E3037E"/>
    <w:rsid w:val="00E30454"/>
    <w:rsid w:val="00E30721"/>
    <w:rsid w:val="00E307F1"/>
    <w:rsid w:val="00E30F9D"/>
    <w:rsid w:val="00E31036"/>
    <w:rsid w:val="00E3162E"/>
    <w:rsid w:val="00E31724"/>
    <w:rsid w:val="00E31DEC"/>
    <w:rsid w:val="00E325C7"/>
    <w:rsid w:val="00E3275B"/>
    <w:rsid w:val="00E328C6"/>
    <w:rsid w:val="00E32BA6"/>
    <w:rsid w:val="00E331EA"/>
    <w:rsid w:val="00E3367C"/>
    <w:rsid w:val="00E337EF"/>
    <w:rsid w:val="00E33821"/>
    <w:rsid w:val="00E338BB"/>
    <w:rsid w:val="00E33E4D"/>
    <w:rsid w:val="00E33F57"/>
    <w:rsid w:val="00E340F7"/>
    <w:rsid w:val="00E341BF"/>
    <w:rsid w:val="00E344B0"/>
    <w:rsid w:val="00E34C06"/>
    <w:rsid w:val="00E34DB7"/>
    <w:rsid w:val="00E350DE"/>
    <w:rsid w:val="00E350FE"/>
    <w:rsid w:val="00E35447"/>
    <w:rsid w:val="00E35A1A"/>
    <w:rsid w:val="00E35F01"/>
    <w:rsid w:val="00E36C2E"/>
    <w:rsid w:val="00E36C8A"/>
    <w:rsid w:val="00E36D45"/>
    <w:rsid w:val="00E36EA1"/>
    <w:rsid w:val="00E37537"/>
    <w:rsid w:val="00E37575"/>
    <w:rsid w:val="00E3789A"/>
    <w:rsid w:val="00E37D5B"/>
    <w:rsid w:val="00E4004C"/>
    <w:rsid w:val="00E407B3"/>
    <w:rsid w:val="00E40A73"/>
    <w:rsid w:val="00E40B40"/>
    <w:rsid w:val="00E40F82"/>
    <w:rsid w:val="00E41379"/>
    <w:rsid w:val="00E41412"/>
    <w:rsid w:val="00E418D4"/>
    <w:rsid w:val="00E41B31"/>
    <w:rsid w:val="00E41F3D"/>
    <w:rsid w:val="00E41FED"/>
    <w:rsid w:val="00E423B2"/>
    <w:rsid w:val="00E42693"/>
    <w:rsid w:val="00E428A7"/>
    <w:rsid w:val="00E42A38"/>
    <w:rsid w:val="00E42AFF"/>
    <w:rsid w:val="00E42BB8"/>
    <w:rsid w:val="00E42E6C"/>
    <w:rsid w:val="00E43120"/>
    <w:rsid w:val="00E434D6"/>
    <w:rsid w:val="00E43653"/>
    <w:rsid w:val="00E436CC"/>
    <w:rsid w:val="00E438C7"/>
    <w:rsid w:val="00E43C87"/>
    <w:rsid w:val="00E43F01"/>
    <w:rsid w:val="00E440BB"/>
    <w:rsid w:val="00E44248"/>
    <w:rsid w:val="00E444A1"/>
    <w:rsid w:val="00E44856"/>
    <w:rsid w:val="00E448E3"/>
    <w:rsid w:val="00E44F99"/>
    <w:rsid w:val="00E45256"/>
    <w:rsid w:val="00E457D7"/>
    <w:rsid w:val="00E45AB5"/>
    <w:rsid w:val="00E46823"/>
    <w:rsid w:val="00E46A78"/>
    <w:rsid w:val="00E46B42"/>
    <w:rsid w:val="00E46B94"/>
    <w:rsid w:val="00E4724C"/>
    <w:rsid w:val="00E472DA"/>
    <w:rsid w:val="00E4759A"/>
    <w:rsid w:val="00E47A3E"/>
    <w:rsid w:val="00E47AA3"/>
    <w:rsid w:val="00E5015E"/>
    <w:rsid w:val="00E50311"/>
    <w:rsid w:val="00E5076A"/>
    <w:rsid w:val="00E50C95"/>
    <w:rsid w:val="00E50EBB"/>
    <w:rsid w:val="00E50F27"/>
    <w:rsid w:val="00E50F9B"/>
    <w:rsid w:val="00E513F0"/>
    <w:rsid w:val="00E514AE"/>
    <w:rsid w:val="00E51683"/>
    <w:rsid w:val="00E51860"/>
    <w:rsid w:val="00E51B10"/>
    <w:rsid w:val="00E51CAE"/>
    <w:rsid w:val="00E51D12"/>
    <w:rsid w:val="00E51F3B"/>
    <w:rsid w:val="00E5241F"/>
    <w:rsid w:val="00E52481"/>
    <w:rsid w:val="00E524BE"/>
    <w:rsid w:val="00E52582"/>
    <w:rsid w:val="00E52738"/>
    <w:rsid w:val="00E52FE2"/>
    <w:rsid w:val="00E53561"/>
    <w:rsid w:val="00E537D4"/>
    <w:rsid w:val="00E537E0"/>
    <w:rsid w:val="00E53867"/>
    <w:rsid w:val="00E53B68"/>
    <w:rsid w:val="00E53D58"/>
    <w:rsid w:val="00E54329"/>
    <w:rsid w:val="00E55072"/>
    <w:rsid w:val="00E5525E"/>
    <w:rsid w:val="00E5590F"/>
    <w:rsid w:val="00E55D73"/>
    <w:rsid w:val="00E55DF0"/>
    <w:rsid w:val="00E560D9"/>
    <w:rsid w:val="00E562B7"/>
    <w:rsid w:val="00E56470"/>
    <w:rsid w:val="00E564B1"/>
    <w:rsid w:val="00E56542"/>
    <w:rsid w:val="00E56885"/>
    <w:rsid w:val="00E5693D"/>
    <w:rsid w:val="00E56A1C"/>
    <w:rsid w:val="00E56C2C"/>
    <w:rsid w:val="00E574F6"/>
    <w:rsid w:val="00E60620"/>
    <w:rsid w:val="00E6144B"/>
    <w:rsid w:val="00E6171C"/>
    <w:rsid w:val="00E6185D"/>
    <w:rsid w:val="00E6226C"/>
    <w:rsid w:val="00E62DFA"/>
    <w:rsid w:val="00E62E51"/>
    <w:rsid w:val="00E6376A"/>
    <w:rsid w:val="00E63B81"/>
    <w:rsid w:val="00E63F1F"/>
    <w:rsid w:val="00E63F72"/>
    <w:rsid w:val="00E64619"/>
    <w:rsid w:val="00E646F5"/>
    <w:rsid w:val="00E64926"/>
    <w:rsid w:val="00E64A56"/>
    <w:rsid w:val="00E64FFC"/>
    <w:rsid w:val="00E650A6"/>
    <w:rsid w:val="00E656CC"/>
    <w:rsid w:val="00E662E0"/>
    <w:rsid w:val="00E66471"/>
    <w:rsid w:val="00E668D3"/>
    <w:rsid w:val="00E67880"/>
    <w:rsid w:val="00E678A3"/>
    <w:rsid w:val="00E678D0"/>
    <w:rsid w:val="00E67A53"/>
    <w:rsid w:val="00E67B04"/>
    <w:rsid w:val="00E67C70"/>
    <w:rsid w:val="00E70004"/>
    <w:rsid w:val="00E70134"/>
    <w:rsid w:val="00E70BAF"/>
    <w:rsid w:val="00E70C05"/>
    <w:rsid w:val="00E70C1C"/>
    <w:rsid w:val="00E70C89"/>
    <w:rsid w:val="00E70CDF"/>
    <w:rsid w:val="00E70F04"/>
    <w:rsid w:val="00E7103E"/>
    <w:rsid w:val="00E71218"/>
    <w:rsid w:val="00E71610"/>
    <w:rsid w:val="00E71C5F"/>
    <w:rsid w:val="00E71D1E"/>
    <w:rsid w:val="00E71EA9"/>
    <w:rsid w:val="00E7213F"/>
    <w:rsid w:val="00E72333"/>
    <w:rsid w:val="00E7290E"/>
    <w:rsid w:val="00E729FF"/>
    <w:rsid w:val="00E73BE3"/>
    <w:rsid w:val="00E73F8C"/>
    <w:rsid w:val="00E740A4"/>
    <w:rsid w:val="00E7420A"/>
    <w:rsid w:val="00E742B8"/>
    <w:rsid w:val="00E74467"/>
    <w:rsid w:val="00E74505"/>
    <w:rsid w:val="00E74572"/>
    <w:rsid w:val="00E74A41"/>
    <w:rsid w:val="00E75364"/>
    <w:rsid w:val="00E754FA"/>
    <w:rsid w:val="00E75611"/>
    <w:rsid w:val="00E759FD"/>
    <w:rsid w:val="00E75E82"/>
    <w:rsid w:val="00E75EC5"/>
    <w:rsid w:val="00E7625C"/>
    <w:rsid w:val="00E763F1"/>
    <w:rsid w:val="00E766C4"/>
    <w:rsid w:val="00E76897"/>
    <w:rsid w:val="00E76BA1"/>
    <w:rsid w:val="00E76D9D"/>
    <w:rsid w:val="00E775CD"/>
    <w:rsid w:val="00E77BBC"/>
    <w:rsid w:val="00E77D76"/>
    <w:rsid w:val="00E80338"/>
    <w:rsid w:val="00E80448"/>
    <w:rsid w:val="00E8091F"/>
    <w:rsid w:val="00E809A4"/>
    <w:rsid w:val="00E81025"/>
    <w:rsid w:val="00E81368"/>
    <w:rsid w:val="00E81846"/>
    <w:rsid w:val="00E81F25"/>
    <w:rsid w:val="00E82536"/>
    <w:rsid w:val="00E826D3"/>
    <w:rsid w:val="00E8273F"/>
    <w:rsid w:val="00E82973"/>
    <w:rsid w:val="00E82AFA"/>
    <w:rsid w:val="00E82DB7"/>
    <w:rsid w:val="00E831D2"/>
    <w:rsid w:val="00E834A1"/>
    <w:rsid w:val="00E8393E"/>
    <w:rsid w:val="00E839AD"/>
    <w:rsid w:val="00E83B33"/>
    <w:rsid w:val="00E84091"/>
    <w:rsid w:val="00E843C1"/>
    <w:rsid w:val="00E843E1"/>
    <w:rsid w:val="00E849E0"/>
    <w:rsid w:val="00E84A46"/>
    <w:rsid w:val="00E84D7D"/>
    <w:rsid w:val="00E84E5E"/>
    <w:rsid w:val="00E84F1F"/>
    <w:rsid w:val="00E8537A"/>
    <w:rsid w:val="00E85502"/>
    <w:rsid w:val="00E8565E"/>
    <w:rsid w:val="00E85784"/>
    <w:rsid w:val="00E85EE3"/>
    <w:rsid w:val="00E8601B"/>
    <w:rsid w:val="00E860A4"/>
    <w:rsid w:val="00E862C9"/>
    <w:rsid w:val="00E863CC"/>
    <w:rsid w:val="00E863D2"/>
    <w:rsid w:val="00E86FED"/>
    <w:rsid w:val="00E870CD"/>
    <w:rsid w:val="00E87164"/>
    <w:rsid w:val="00E874A6"/>
    <w:rsid w:val="00E874E7"/>
    <w:rsid w:val="00E876A1"/>
    <w:rsid w:val="00E87A8A"/>
    <w:rsid w:val="00E87F59"/>
    <w:rsid w:val="00E902EE"/>
    <w:rsid w:val="00E911ED"/>
    <w:rsid w:val="00E91235"/>
    <w:rsid w:val="00E91429"/>
    <w:rsid w:val="00E9167C"/>
    <w:rsid w:val="00E91734"/>
    <w:rsid w:val="00E917D3"/>
    <w:rsid w:val="00E91BB1"/>
    <w:rsid w:val="00E91F54"/>
    <w:rsid w:val="00E92101"/>
    <w:rsid w:val="00E9236D"/>
    <w:rsid w:val="00E9242E"/>
    <w:rsid w:val="00E92D22"/>
    <w:rsid w:val="00E93183"/>
    <w:rsid w:val="00E93338"/>
    <w:rsid w:val="00E935BC"/>
    <w:rsid w:val="00E93779"/>
    <w:rsid w:val="00E93812"/>
    <w:rsid w:val="00E9392F"/>
    <w:rsid w:val="00E93C06"/>
    <w:rsid w:val="00E93D4C"/>
    <w:rsid w:val="00E9446F"/>
    <w:rsid w:val="00E944C6"/>
    <w:rsid w:val="00E944FB"/>
    <w:rsid w:val="00E945F8"/>
    <w:rsid w:val="00E9483B"/>
    <w:rsid w:val="00E94A5B"/>
    <w:rsid w:val="00E94AAB"/>
    <w:rsid w:val="00E94C11"/>
    <w:rsid w:val="00E94F11"/>
    <w:rsid w:val="00E95017"/>
    <w:rsid w:val="00E95268"/>
    <w:rsid w:val="00E95288"/>
    <w:rsid w:val="00E95445"/>
    <w:rsid w:val="00E95BCE"/>
    <w:rsid w:val="00E95CFB"/>
    <w:rsid w:val="00E95D99"/>
    <w:rsid w:val="00E95F68"/>
    <w:rsid w:val="00E960CC"/>
    <w:rsid w:val="00E96399"/>
    <w:rsid w:val="00E964D6"/>
    <w:rsid w:val="00E9656A"/>
    <w:rsid w:val="00E9695A"/>
    <w:rsid w:val="00E96A1B"/>
    <w:rsid w:val="00E96E15"/>
    <w:rsid w:val="00E970A2"/>
    <w:rsid w:val="00E97482"/>
    <w:rsid w:val="00E97C18"/>
    <w:rsid w:val="00EA004B"/>
    <w:rsid w:val="00EA011C"/>
    <w:rsid w:val="00EA065B"/>
    <w:rsid w:val="00EA0A7A"/>
    <w:rsid w:val="00EA0C43"/>
    <w:rsid w:val="00EA0FA1"/>
    <w:rsid w:val="00EA1595"/>
    <w:rsid w:val="00EA174F"/>
    <w:rsid w:val="00EA1770"/>
    <w:rsid w:val="00EA17BF"/>
    <w:rsid w:val="00EA1B17"/>
    <w:rsid w:val="00EA1CE4"/>
    <w:rsid w:val="00EA203C"/>
    <w:rsid w:val="00EA24C2"/>
    <w:rsid w:val="00EA2562"/>
    <w:rsid w:val="00EA271A"/>
    <w:rsid w:val="00EA29E6"/>
    <w:rsid w:val="00EA2E82"/>
    <w:rsid w:val="00EA30D7"/>
    <w:rsid w:val="00EA313B"/>
    <w:rsid w:val="00EA3165"/>
    <w:rsid w:val="00EA32B0"/>
    <w:rsid w:val="00EA32E3"/>
    <w:rsid w:val="00EA341A"/>
    <w:rsid w:val="00EA359E"/>
    <w:rsid w:val="00EA371E"/>
    <w:rsid w:val="00EA3A5D"/>
    <w:rsid w:val="00EA3B7A"/>
    <w:rsid w:val="00EA4003"/>
    <w:rsid w:val="00EA4110"/>
    <w:rsid w:val="00EA4628"/>
    <w:rsid w:val="00EA4791"/>
    <w:rsid w:val="00EA4819"/>
    <w:rsid w:val="00EA4B4B"/>
    <w:rsid w:val="00EA4BCC"/>
    <w:rsid w:val="00EA4DC2"/>
    <w:rsid w:val="00EA50C9"/>
    <w:rsid w:val="00EA5194"/>
    <w:rsid w:val="00EA5414"/>
    <w:rsid w:val="00EA55FE"/>
    <w:rsid w:val="00EA577E"/>
    <w:rsid w:val="00EA6F97"/>
    <w:rsid w:val="00EA70B5"/>
    <w:rsid w:val="00EA7332"/>
    <w:rsid w:val="00EA7DE4"/>
    <w:rsid w:val="00EA7EF4"/>
    <w:rsid w:val="00EB0170"/>
    <w:rsid w:val="00EB01AA"/>
    <w:rsid w:val="00EB01B0"/>
    <w:rsid w:val="00EB050C"/>
    <w:rsid w:val="00EB06B6"/>
    <w:rsid w:val="00EB0F66"/>
    <w:rsid w:val="00EB1066"/>
    <w:rsid w:val="00EB11FC"/>
    <w:rsid w:val="00EB144D"/>
    <w:rsid w:val="00EB14D7"/>
    <w:rsid w:val="00EB1565"/>
    <w:rsid w:val="00EB161F"/>
    <w:rsid w:val="00EB1AB8"/>
    <w:rsid w:val="00EB1B1A"/>
    <w:rsid w:val="00EB1F5B"/>
    <w:rsid w:val="00EB1FBA"/>
    <w:rsid w:val="00EB2079"/>
    <w:rsid w:val="00EB2279"/>
    <w:rsid w:val="00EB24A0"/>
    <w:rsid w:val="00EB2724"/>
    <w:rsid w:val="00EB2A21"/>
    <w:rsid w:val="00EB2EE9"/>
    <w:rsid w:val="00EB36D7"/>
    <w:rsid w:val="00EB3A46"/>
    <w:rsid w:val="00EB3CB2"/>
    <w:rsid w:val="00EB3F74"/>
    <w:rsid w:val="00EB403D"/>
    <w:rsid w:val="00EB44E7"/>
    <w:rsid w:val="00EB498E"/>
    <w:rsid w:val="00EB4FAD"/>
    <w:rsid w:val="00EB5438"/>
    <w:rsid w:val="00EB5FEF"/>
    <w:rsid w:val="00EB60DC"/>
    <w:rsid w:val="00EB664A"/>
    <w:rsid w:val="00EB6664"/>
    <w:rsid w:val="00EB6835"/>
    <w:rsid w:val="00EB7063"/>
    <w:rsid w:val="00EB713B"/>
    <w:rsid w:val="00EB7354"/>
    <w:rsid w:val="00EB769A"/>
    <w:rsid w:val="00EB7B3E"/>
    <w:rsid w:val="00EB7EC2"/>
    <w:rsid w:val="00EC04B5"/>
    <w:rsid w:val="00EC057E"/>
    <w:rsid w:val="00EC05DA"/>
    <w:rsid w:val="00EC097D"/>
    <w:rsid w:val="00EC0D5A"/>
    <w:rsid w:val="00EC0E38"/>
    <w:rsid w:val="00EC18BA"/>
    <w:rsid w:val="00EC1B14"/>
    <w:rsid w:val="00EC1B93"/>
    <w:rsid w:val="00EC1C6F"/>
    <w:rsid w:val="00EC1C71"/>
    <w:rsid w:val="00EC1CE5"/>
    <w:rsid w:val="00EC1D55"/>
    <w:rsid w:val="00EC21D2"/>
    <w:rsid w:val="00EC2218"/>
    <w:rsid w:val="00EC23CB"/>
    <w:rsid w:val="00EC2745"/>
    <w:rsid w:val="00EC2A11"/>
    <w:rsid w:val="00EC2C1A"/>
    <w:rsid w:val="00EC3337"/>
    <w:rsid w:val="00EC3372"/>
    <w:rsid w:val="00EC3570"/>
    <w:rsid w:val="00EC37EB"/>
    <w:rsid w:val="00EC389D"/>
    <w:rsid w:val="00EC38CA"/>
    <w:rsid w:val="00EC39DC"/>
    <w:rsid w:val="00EC4057"/>
    <w:rsid w:val="00EC40AF"/>
    <w:rsid w:val="00EC47F8"/>
    <w:rsid w:val="00EC53B1"/>
    <w:rsid w:val="00EC548D"/>
    <w:rsid w:val="00EC56BF"/>
    <w:rsid w:val="00EC5988"/>
    <w:rsid w:val="00EC5D2E"/>
    <w:rsid w:val="00EC620F"/>
    <w:rsid w:val="00EC623A"/>
    <w:rsid w:val="00EC638C"/>
    <w:rsid w:val="00EC6449"/>
    <w:rsid w:val="00EC6798"/>
    <w:rsid w:val="00EC694F"/>
    <w:rsid w:val="00EC6B12"/>
    <w:rsid w:val="00EC6DAD"/>
    <w:rsid w:val="00EC6F00"/>
    <w:rsid w:val="00EC6F4E"/>
    <w:rsid w:val="00EC7146"/>
    <w:rsid w:val="00EC74D7"/>
    <w:rsid w:val="00EC75F3"/>
    <w:rsid w:val="00EC7A97"/>
    <w:rsid w:val="00EC7B99"/>
    <w:rsid w:val="00EC7CD7"/>
    <w:rsid w:val="00EC7F5A"/>
    <w:rsid w:val="00EC7FAD"/>
    <w:rsid w:val="00ED0061"/>
    <w:rsid w:val="00ED0897"/>
    <w:rsid w:val="00ED08C0"/>
    <w:rsid w:val="00ED0AAF"/>
    <w:rsid w:val="00ED0B5E"/>
    <w:rsid w:val="00ED0FD9"/>
    <w:rsid w:val="00ED1191"/>
    <w:rsid w:val="00ED15F7"/>
    <w:rsid w:val="00ED1760"/>
    <w:rsid w:val="00ED17D6"/>
    <w:rsid w:val="00ED192D"/>
    <w:rsid w:val="00ED1A48"/>
    <w:rsid w:val="00ED1CE1"/>
    <w:rsid w:val="00ED1D21"/>
    <w:rsid w:val="00ED2051"/>
    <w:rsid w:val="00ED23BF"/>
    <w:rsid w:val="00ED2DFE"/>
    <w:rsid w:val="00ED2E04"/>
    <w:rsid w:val="00ED2EEC"/>
    <w:rsid w:val="00ED3118"/>
    <w:rsid w:val="00ED37A0"/>
    <w:rsid w:val="00ED3C6E"/>
    <w:rsid w:val="00ED3D2F"/>
    <w:rsid w:val="00ED414A"/>
    <w:rsid w:val="00ED41F9"/>
    <w:rsid w:val="00ED43C5"/>
    <w:rsid w:val="00ED48FB"/>
    <w:rsid w:val="00ED4903"/>
    <w:rsid w:val="00ED49A0"/>
    <w:rsid w:val="00ED4BDB"/>
    <w:rsid w:val="00ED546D"/>
    <w:rsid w:val="00ED569D"/>
    <w:rsid w:val="00ED5A03"/>
    <w:rsid w:val="00ED6257"/>
    <w:rsid w:val="00ED63ED"/>
    <w:rsid w:val="00ED676C"/>
    <w:rsid w:val="00ED679D"/>
    <w:rsid w:val="00ED6977"/>
    <w:rsid w:val="00ED6B58"/>
    <w:rsid w:val="00ED6C07"/>
    <w:rsid w:val="00ED6C80"/>
    <w:rsid w:val="00ED6FCF"/>
    <w:rsid w:val="00ED7711"/>
    <w:rsid w:val="00ED7874"/>
    <w:rsid w:val="00EE0242"/>
    <w:rsid w:val="00EE0788"/>
    <w:rsid w:val="00EE0A19"/>
    <w:rsid w:val="00EE0C55"/>
    <w:rsid w:val="00EE0CB6"/>
    <w:rsid w:val="00EE0F8C"/>
    <w:rsid w:val="00EE0FA4"/>
    <w:rsid w:val="00EE11D9"/>
    <w:rsid w:val="00EE14B7"/>
    <w:rsid w:val="00EE1521"/>
    <w:rsid w:val="00EE15C6"/>
    <w:rsid w:val="00EE1647"/>
    <w:rsid w:val="00EE1D3A"/>
    <w:rsid w:val="00EE1DFC"/>
    <w:rsid w:val="00EE205E"/>
    <w:rsid w:val="00EE2188"/>
    <w:rsid w:val="00EE2424"/>
    <w:rsid w:val="00EE2D1A"/>
    <w:rsid w:val="00EE2DED"/>
    <w:rsid w:val="00EE34FF"/>
    <w:rsid w:val="00EE3636"/>
    <w:rsid w:val="00EE36BC"/>
    <w:rsid w:val="00EE38B7"/>
    <w:rsid w:val="00EE3B91"/>
    <w:rsid w:val="00EE3D62"/>
    <w:rsid w:val="00EE3FBF"/>
    <w:rsid w:val="00EE4073"/>
    <w:rsid w:val="00EE41C7"/>
    <w:rsid w:val="00EE4278"/>
    <w:rsid w:val="00EE4395"/>
    <w:rsid w:val="00EE4526"/>
    <w:rsid w:val="00EE455F"/>
    <w:rsid w:val="00EE4A4B"/>
    <w:rsid w:val="00EE4CAA"/>
    <w:rsid w:val="00EE4F37"/>
    <w:rsid w:val="00EE5042"/>
    <w:rsid w:val="00EE53C9"/>
    <w:rsid w:val="00EE5795"/>
    <w:rsid w:val="00EE5976"/>
    <w:rsid w:val="00EE5C5E"/>
    <w:rsid w:val="00EE5D35"/>
    <w:rsid w:val="00EE69A7"/>
    <w:rsid w:val="00EE6A22"/>
    <w:rsid w:val="00EE6B4F"/>
    <w:rsid w:val="00EE717D"/>
    <w:rsid w:val="00EE748E"/>
    <w:rsid w:val="00EE76D9"/>
    <w:rsid w:val="00EE782F"/>
    <w:rsid w:val="00EE7B37"/>
    <w:rsid w:val="00EF0127"/>
    <w:rsid w:val="00EF0541"/>
    <w:rsid w:val="00EF0BAB"/>
    <w:rsid w:val="00EF0BF1"/>
    <w:rsid w:val="00EF0C7E"/>
    <w:rsid w:val="00EF0DDE"/>
    <w:rsid w:val="00EF0EC0"/>
    <w:rsid w:val="00EF100A"/>
    <w:rsid w:val="00EF10C8"/>
    <w:rsid w:val="00EF148D"/>
    <w:rsid w:val="00EF163B"/>
    <w:rsid w:val="00EF20A6"/>
    <w:rsid w:val="00EF2393"/>
    <w:rsid w:val="00EF2637"/>
    <w:rsid w:val="00EF286D"/>
    <w:rsid w:val="00EF2C2C"/>
    <w:rsid w:val="00EF2D8C"/>
    <w:rsid w:val="00EF2F19"/>
    <w:rsid w:val="00EF35A0"/>
    <w:rsid w:val="00EF3BBC"/>
    <w:rsid w:val="00EF4C42"/>
    <w:rsid w:val="00EF4D62"/>
    <w:rsid w:val="00EF5032"/>
    <w:rsid w:val="00EF5110"/>
    <w:rsid w:val="00EF524D"/>
    <w:rsid w:val="00EF5304"/>
    <w:rsid w:val="00EF57C2"/>
    <w:rsid w:val="00EF57D9"/>
    <w:rsid w:val="00EF5A6E"/>
    <w:rsid w:val="00EF5B5D"/>
    <w:rsid w:val="00EF5C38"/>
    <w:rsid w:val="00EF5C8D"/>
    <w:rsid w:val="00EF6101"/>
    <w:rsid w:val="00EF6482"/>
    <w:rsid w:val="00EF64CA"/>
    <w:rsid w:val="00EF669A"/>
    <w:rsid w:val="00EF672C"/>
    <w:rsid w:val="00EF687B"/>
    <w:rsid w:val="00EF71E1"/>
    <w:rsid w:val="00EF725E"/>
    <w:rsid w:val="00EF72F1"/>
    <w:rsid w:val="00EF7316"/>
    <w:rsid w:val="00EF73B9"/>
    <w:rsid w:val="00EF7656"/>
    <w:rsid w:val="00EF7C4F"/>
    <w:rsid w:val="00EF7E1F"/>
    <w:rsid w:val="00EF7EE1"/>
    <w:rsid w:val="00F0005D"/>
    <w:rsid w:val="00F00368"/>
    <w:rsid w:val="00F003B9"/>
    <w:rsid w:val="00F00450"/>
    <w:rsid w:val="00F00630"/>
    <w:rsid w:val="00F00ABC"/>
    <w:rsid w:val="00F0100D"/>
    <w:rsid w:val="00F01380"/>
    <w:rsid w:val="00F013FE"/>
    <w:rsid w:val="00F0148C"/>
    <w:rsid w:val="00F0160F"/>
    <w:rsid w:val="00F017C5"/>
    <w:rsid w:val="00F018B0"/>
    <w:rsid w:val="00F01E68"/>
    <w:rsid w:val="00F023A1"/>
    <w:rsid w:val="00F025EF"/>
    <w:rsid w:val="00F026C2"/>
    <w:rsid w:val="00F027B0"/>
    <w:rsid w:val="00F02CC8"/>
    <w:rsid w:val="00F03066"/>
    <w:rsid w:val="00F03966"/>
    <w:rsid w:val="00F03C57"/>
    <w:rsid w:val="00F041E5"/>
    <w:rsid w:val="00F042EB"/>
    <w:rsid w:val="00F05112"/>
    <w:rsid w:val="00F057AF"/>
    <w:rsid w:val="00F0593B"/>
    <w:rsid w:val="00F0625F"/>
    <w:rsid w:val="00F06336"/>
    <w:rsid w:val="00F064AD"/>
    <w:rsid w:val="00F06752"/>
    <w:rsid w:val="00F067AE"/>
    <w:rsid w:val="00F06986"/>
    <w:rsid w:val="00F06990"/>
    <w:rsid w:val="00F069E4"/>
    <w:rsid w:val="00F06BAC"/>
    <w:rsid w:val="00F07335"/>
    <w:rsid w:val="00F07364"/>
    <w:rsid w:val="00F07402"/>
    <w:rsid w:val="00F07522"/>
    <w:rsid w:val="00F076DB"/>
    <w:rsid w:val="00F07ADB"/>
    <w:rsid w:val="00F10227"/>
    <w:rsid w:val="00F1027F"/>
    <w:rsid w:val="00F1084B"/>
    <w:rsid w:val="00F10879"/>
    <w:rsid w:val="00F109D7"/>
    <w:rsid w:val="00F11232"/>
    <w:rsid w:val="00F1157A"/>
    <w:rsid w:val="00F11669"/>
    <w:rsid w:val="00F118C7"/>
    <w:rsid w:val="00F119FA"/>
    <w:rsid w:val="00F11E81"/>
    <w:rsid w:val="00F126BA"/>
    <w:rsid w:val="00F1281E"/>
    <w:rsid w:val="00F12871"/>
    <w:rsid w:val="00F13068"/>
    <w:rsid w:val="00F13130"/>
    <w:rsid w:val="00F136A4"/>
    <w:rsid w:val="00F13921"/>
    <w:rsid w:val="00F13A05"/>
    <w:rsid w:val="00F140BF"/>
    <w:rsid w:val="00F140C6"/>
    <w:rsid w:val="00F140F1"/>
    <w:rsid w:val="00F14ADA"/>
    <w:rsid w:val="00F14BD3"/>
    <w:rsid w:val="00F14BE4"/>
    <w:rsid w:val="00F14CFB"/>
    <w:rsid w:val="00F1500C"/>
    <w:rsid w:val="00F1522F"/>
    <w:rsid w:val="00F15486"/>
    <w:rsid w:val="00F15B0E"/>
    <w:rsid w:val="00F15D89"/>
    <w:rsid w:val="00F16273"/>
    <w:rsid w:val="00F168EC"/>
    <w:rsid w:val="00F16BC0"/>
    <w:rsid w:val="00F17163"/>
    <w:rsid w:val="00F176D8"/>
    <w:rsid w:val="00F17B3E"/>
    <w:rsid w:val="00F17CD7"/>
    <w:rsid w:val="00F17D66"/>
    <w:rsid w:val="00F200E7"/>
    <w:rsid w:val="00F205B1"/>
    <w:rsid w:val="00F20655"/>
    <w:rsid w:val="00F208C2"/>
    <w:rsid w:val="00F20B2E"/>
    <w:rsid w:val="00F20C5A"/>
    <w:rsid w:val="00F20EF4"/>
    <w:rsid w:val="00F2103E"/>
    <w:rsid w:val="00F21198"/>
    <w:rsid w:val="00F212EB"/>
    <w:rsid w:val="00F21377"/>
    <w:rsid w:val="00F2147A"/>
    <w:rsid w:val="00F21644"/>
    <w:rsid w:val="00F216DE"/>
    <w:rsid w:val="00F217ED"/>
    <w:rsid w:val="00F21AEB"/>
    <w:rsid w:val="00F21FC1"/>
    <w:rsid w:val="00F2218D"/>
    <w:rsid w:val="00F22681"/>
    <w:rsid w:val="00F22DE4"/>
    <w:rsid w:val="00F230FD"/>
    <w:rsid w:val="00F23323"/>
    <w:rsid w:val="00F23490"/>
    <w:rsid w:val="00F239E5"/>
    <w:rsid w:val="00F23D06"/>
    <w:rsid w:val="00F249A3"/>
    <w:rsid w:val="00F249F8"/>
    <w:rsid w:val="00F24A48"/>
    <w:rsid w:val="00F24AFA"/>
    <w:rsid w:val="00F24B3C"/>
    <w:rsid w:val="00F24DE7"/>
    <w:rsid w:val="00F24F10"/>
    <w:rsid w:val="00F251DE"/>
    <w:rsid w:val="00F259CC"/>
    <w:rsid w:val="00F25A38"/>
    <w:rsid w:val="00F25CAC"/>
    <w:rsid w:val="00F26048"/>
    <w:rsid w:val="00F260CC"/>
    <w:rsid w:val="00F2635C"/>
    <w:rsid w:val="00F267BC"/>
    <w:rsid w:val="00F2686F"/>
    <w:rsid w:val="00F271A2"/>
    <w:rsid w:val="00F27834"/>
    <w:rsid w:val="00F27E0A"/>
    <w:rsid w:val="00F304F1"/>
    <w:rsid w:val="00F306AB"/>
    <w:rsid w:val="00F30772"/>
    <w:rsid w:val="00F3090D"/>
    <w:rsid w:val="00F31296"/>
    <w:rsid w:val="00F3142B"/>
    <w:rsid w:val="00F31613"/>
    <w:rsid w:val="00F31746"/>
    <w:rsid w:val="00F317CC"/>
    <w:rsid w:val="00F318A1"/>
    <w:rsid w:val="00F31D34"/>
    <w:rsid w:val="00F321A8"/>
    <w:rsid w:val="00F329E6"/>
    <w:rsid w:val="00F32C5E"/>
    <w:rsid w:val="00F32FA0"/>
    <w:rsid w:val="00F33362"/>
    <w:rsid w:val="00F33908"/>
    <w:rsid w:val="00F340B8"/>
    <w:rsid w:val="00F3426B"/>
    <w:rsid w:val="00F3435A"/>
    <w:rsid w:val="00F3436C"/>
    <w:rsid w:val="00F34536"/>
    <w:rsid w:val="00F34687"/>
    <w:rsid w:val="00F34700"/>
    <w:rsid w:val="00F34866"/>
    <w:rsid w:val="00F34B13"/>
    <w:rsid w:val="00F34B65"/>
    <w:rsid w:val="00F34C42"/>
    <w:rsid w:val="00F35255"/>
    <w:rsid w:val="00F35443"/>
    <w:rsid w:val="00F35655"/>
    <w:rsid w:val="00F359AB"/>
    <w:rsid w:val="00F35AEE"/>
    <w:rsid w:val="00F35D74"/>
    <w:rsid w:val="00F3619B"/>
    <w:rsid w:val="00F364E3"/>
    <w:rsid w:val="00F36A27"/>
    <w:rsid w:val="00F36C10"/>
    <w:rsid w:val="00F36C2E"/>
    <w:rsid w:val="00F36C43"/>
    <w:rsid w:val="00F374B9"/>
    <w:rsid w:val="00F3763D"/>
    <w:rsid w:val="00F3783F"/>
    <w:rsid w:val="00F3791B"/>
    <w:rsid w:val="00F37AEC"/>
    <w:rsid w:val="00F37B0B"/>
    <w:rsid w:val="00F37CA5"/>
    <w:rsid w:val="00F37F9E"/>
    <w:rsid w:val="00F403A5"/>
    <w:rsid w:val="00F4041F"/>
    <w:rsid w:val="00F40A48"/>
    <w:rsid w:val="00F40D59"/>
    <w:rsid w:val="00F40F68"/>
    <w:rsid w:val="00F412F2"/>
    <w:rsid w:val="00F4131F"/>
    <w:rsid w:val="00F4136B"/>
    <w:rsid w:val="00F4172F"/>
    <w:rsid w:val="00F41AB9"/>
    <w:rsid w:val="00F41F59"/>
    <w:rsid w:val="00F42098"/>
    <w:rsid w:val="00F4254A"/>
    <w:rsid w:val="00F4284E"/>
    <w:rsid w:val="00F4316E"/>
    <w:rsid w:val="00F434A6"/>
    <w:rsid w:val="00F437B0"/>
    <w:rsid w:val="00F43AE0"/>
    <w:rsid w:val="00F43C06"/>
    <w:rsid w:val="00F43FE2"/>
    <w:rsid w:val="00F443D4"/>
    <w:rsid w:val="00F444C4"/>
    <w:rsid w:val="00F4468F"/>
    <w:rsid w:val="00F44EDC"/>
    <w:rsid w:val="00F4500A"/>
    <w:rsid w:val="00F4513B"/>
    <w:rsid w:val="00F455BD"/>
    <w:rsid w:val="00F458C1"/>
    <w:rsid w:val="00F45B56"/>
    <w:rsid w:val="00F46084"/>
    <w:rsid w:val="00F46544"/>
    <w:rsid w:val="00F465BA"/>
    <w:rsid w:val="00F46666"/>
    <w:rsid w:val="00F46695"/>
    <w:rsid w:val="00F46936"/>
    <w:rsid w:val="00F46CE0"/>
    <w:rsid w:val="00F472C4"/>
    <w:rsid w:val="00F4742F"/>
    <w:rsid w:val="00F477D1"/>
    <w:rsid w:val="00F47AA8"/>
    <w:rsid w:val="00F47C05"/>
    <w:rsid w:val="00F47C56"/>
    <w:rsid w:val="00F50B19"/>
    <w:rsid w:val="00F50E47"/>
    <w:rsid w:val="00F50E59"/>
    <w:rsid w:val="00F51592"/>
    <w:rsid w:val="00F51815"/>
    <w:rsid w:val="00F51FB9"/>
    <w:rsid w:val="00F52155"/>
    <w:rsid w:val="00F523D9"/>
    <w:rsid w:val="00F529A2"/>
    <w:rsid w:val="00F52B7E"/>
    <w:rsid w:val="00F52CEF"/>
    <w:rsid w:val="00F52F0A"/>
    <w:rsid w:val="00F530AD"/>
    <w:rsid w:val="00F5322F"/>
    <w:rsid w:val="00F532DB"/>
    <w:rsid w:val="00F5334D"/>
    <w:rsid w:val="00F53673"/>
    <w:rsid w:val="00F538A7"/>
    <w:rsid w:val="00F53C1E"/>
    <w:rsid w:val="00F53CAB"/>
    <w:rsid w:val="00F54676"/>
    <w:rsid w:val="00F547F2"/>
    <w:rsid w:val="00F54B10"/>
    <w:rsid w:val="00F551E1"/>
    <w:rsid w:val="00F555FC"/>
    <w:rsid w:val="00F5565A"/>
    <w:rsid w:val="00F558AE"/>
    <w:rsid w:val="00F55A9A"/>
    <w:rsid w:val="00F55B7A"/>
    <w:rsid w:val="00F55CDF"/>
    <w:rsid w:val="00F55CF0"/>
    <w:rsid w:val="00F55D17"/>
    <w:rsid w:val="00F55F74"/>
    <w:rsid w:val="00F55F83"/>
    <w:rsid w:val="00F56140"/>
    <w:rsid w:val="00F56199"/>
    <w:rsid w:val="00F56282"/>
    <w:rsid w:val="00F56483"/>
    <w:rsid w:val="00F56529"/>
    <w:rsid w:val="00F56545"/>
    <w:rsid w:val="00F56930"/>
    <w:rsid w:val="00F56C40"/>
    <w:rsid w:val="00F57726"/>
    <w:rsid w:val="00F57D49"/>
    <w:rsid w:val="00F57DD7"/>
    <w:rsid w:val="00F57F2E"/>
    <w:rsid w:val="00F6022A"/>
    <w:rsid w:val="00F60526"/>
    <w:rsid w:val="00F60AEB"/>
    <w:rsid w:val="00F60F5F"/>
    <w:rsid w:val="00F610FB"/>
    <w:rsid w:val="00F6119C"/>
    <w:rsid w:val="00F6189C"/>
    <w:rsid w:val="00F61A99"/>
    <w:rsid w:val="00F61B95"/>
    <w:rsid w:val="00F61CE0"/>
    <w:rsid w:val="00F61D29"/>
    <w:rsid w:val="00F62051"/>
    <w:rsid w:val="00F620E3"/>
    <w:rsid w:val="00F62102"/>
    <w:rsid w:val="00F62362"/>
    <w:rsid w:val="00F62E78"/>
    <w:rsid w:val="00F62F1A"/>
    <w:rsid w:val="00F63473"/>
    <w:rsid w:val="00F63607"/>
    <w:rsid w:val="00F63700"/>
    <w:rsid w:val="00F63880"/>
    <w:rsid w:val="00F63A29"/>
    <w:rsid w:val="00F63A65"/>
    <w:rsid w:val="00F63F8C"/>
    <w:rsid w:val="00F63FE0"/>
    <w:rsid w:val="00F641D0"/>
    <w:rsid w:val="00F641E2"/>
    <w:rsid w:val="00F64283"/>
    <w:rsid w:val="00F64434"/>
    <w:rsid w:val="00F645B1"/>
    <w:rsid w:val="00F6462A"/>
    <w:rsid w:val="00F646B6"/>
    <w:rsid w:val="00F648B8"/>
    <w:rsid w:val="00F65010"/>
    <w:rsid w:val="00F6555A"/>
    <w:rsid w:val="00F65FA1"/>
    <w:rsid w:val="00F664A3"/>
    <w:rsid w:val="00F66EA4"/>
    <w:rsid w:val="00F67086"/>
    <w:rsid w:val="00F67340"/>
    <w:rsid w:val="00F67A43"/>
    <w:rsid w:val="00F67C93"/>
    <w:rsid w:val="00F67F9B"/>
    <w:rsid w:val="00F67FF7"/>
    <w:rsid w:val="00F70940"/>
    <w:rsid w:val="00F71104"/>
    <w:rsid w:val="00F715D9"/>
    <w:rsid w:val="00F71894"/>
    <w:rsid w:val="00F71CD2"/>
    <w:rsid w:val="00F71E1B"/>
    <w:rsid w:val="00F71FAA"/>
    <w:rsid w:val="00F72753"/>
    <w:rsid w:val="00F72BF4"/>
    <w:rsid w:val="00F72C04"/>
    <w:rsid w:val="00F72D23"/>
    <w:rsid w:val="00F72E52"/>
    <w:rsid w:val="00F72F13"/>
    <w:rsid w:val="00F73393"/>
    <w:rsid w:val="00F733BA"/>
    <w:rsid w:val="00F734E0"/>
    <w:rsid w:val="00F739E6"/>
    <w:rsid w:val="00F740D4"/>
    <w:rsid w:val="00F74444"/>
    <w:rsid w:val="00F744C2"/>
    <w:rsid w:val="00F74883"/>
    <w:rsid w:val="00F74A1B"/>
    <w:rsid w:val="00F74A4E"/>
    <w:rsid w:val="00F74B7E"/>
    <w:rsid w:val="00F74F14"/>
    <w:rsid w:val="00F757C8"/>
    <w:rsid w:val="00F75935"/>
    <w:rsid w:val="00F75C2E"/>
    <w:rsid w:val="00F7699A"/>
    <w:rsid w:val="00F76ED9"/>
    <w:rsid w:val="00F7707E"/>
    <w:rsid w:val="00F770CA"/>
    <w:rsid w:val="00F7711F"/>
    <w:rsid w:val="00F77124"/>
    <w:rsid w:val="00F77307"/>
    <w:rsid w:val="00F77710"/>
    <w:rsid w:val="00F77A5E"/>
    <w:rsid w:val="00F77C3F"/>
    <w:rsid w:val="00F77EBF"/>
    <w:rsid w:val="00F808E8"/>
    <w:rsid w:val="00F80D09"/>
    <w:rsid w:val="00F81030"/>
    <w:rsid w:val="00F81227"/>
    <w:rsid w:val="00F8123B"/>
    <w:rsid w:val="00F8125A"/>
    <w:rsid w:val="00F81460"/>
    <w:rsid w:val="00F81522"/>
    <w:rsid w:val="00F81895"/>
    <w:rsid w:val="00F81AB5"/>
    <w:rsid w:val="00F81ED1"/>
    <w:rsid w:val="00F8247B"/>
    <w:rsid w:val="00F82756"/>
    <w:rsid w:val="00F827B9"/>
    <w:rsid w:val="00F82C45"/>
    <w:rsid w:val="00F82C87"/>
    <w:rsid w:val="00F82EF6"/>
    <w:rsid w:val="00F82FF5"/>
    <w:rsid w:val="00F832CA"/>
    <w:rsid w:val="00F834E7"/>
    <w:rsid w:val="00F8373C"/>
    <w:rsid w:val="00F83C23"/>
    <w:rsid w:val="00F83CF3"/>
    <w:rsid w:val="00F83D90"/>
    <w:rsid w:val="00F83DC1"/>
    <w:rsid w:val="00F847BB"/>
    <w:rsid w:val="00F848C9"/>
    <w:rsid w:val="00F84ACF"/>
    <w:rsid w:val="00F84AFE"/>
    <w:rsid w:val="00F84D33"/>
    <w:rsid w:val="00F85072"/>
    <w:rsid w:val="00F85F85"/>
    <w:rsid w:val="00F863D0"/>
    <w:rsid w:val="00F863D5"/>
    <w:rsid w:val="00F863F2"/>
    <w:rsid w:val="00F8680E"/>
    <w:rsid w:val="00F86FFB"/>
    <w:rsid w:val="00F87202"/>
    <w:rsid w:val="00F87898"/>
    <w:rsid w:val="00F87951"/>
    <w:rsid w:val="00F9028D"/>
    <w:rsid w:val="00F906B0"/>
    <w:rsid w:val="00F90796"/>
    <w:rsid w:val="00F90AA6"/>
    <w:rsid w:val="00F90D8F"/>
    <w:rsid w:val="00F910E5"/>
    <w:rsid w:val="00F912D3"/>
    <w:rsid w:val="00F913ED"/>
    <w:rsid w:val="00F91798"/>
    <w:rsid w:val="00F91F57"/>
    <w:rsid w:val="00F92112"/>
    <w:rsid w:val="00F925B6"/>
    <w:rsid w:val="00F9282E"/>
    <w:rsid w:val="00F92B98"/>
    <w:rsid w:val="00F92F32"/>
    <w:rsid w:val="00F931EF"/>
    <w:rsid w:val="00F93805"/>
    <w:rsid w:val="00F9388D"/>
    <w:rsid w:val="00F93CF8"/>
    <w:rsid w:val="00F93D16"/>
    <w:rsid w:val="00F94C8E"/>
    <w:rsid w:val="00F94CCA"/>
    <w:rsid w:val="00F95B76"/>
    <w:rsid w:val="00F95BF2"/>
    <w:rsid w:val="00F96642"/>
    <w:rsid w:val="00F9668F"/>
    <w:rsid w:val="00F96A3B"/>
    <w:rsid w:val="00F96F5B"/>
    <w:rsid w:val="00F97163"/>
    <w:rsid w:val="00F975C4"/>
    <w:rsid w:val="00F97B6F"/>
    <w:rsid w:val="00F97B7F"/>
    <w:rsid w:val="00F97EA1"/>
    <w:rsid w:val="00F97ED9"/>
    <w:rsid w:val="00F97F00"/>
    <w:rsid w:val="00F97F2F"/>
    <w:rsid w:val="00FA0812"/>
    <w:rsid w:val="00FA0968"/>
    <w:rsid w:val="00FA0C78"/>
    <w:rsid w:val="00FA1008"/>
    <w:rsid w:val="00FA1768"/>
    <w:rsid w:val="00FA1A0E"/>
    <w:rsid w:val="00FA1AE4"/>
    <w:rsid w:val="00FA1D7F"/>
    <w:rsid w:val="00FA1F41"/>
    <w:rsid w:val="00FA1FD2"/>
    <w:rsid w:val="00FA23B8"/>
    <w:rsid w:val="00FA269E"/>
    <w:rsid w:val="00FA2826"/>
    <w:rsid w:val="00FA2D9C"/>
    <w:rsid w:val="00FA30CE"/>
    <w:rsid w:val="00FA3E90"/>
    <w:rsid w:val="00FA4401"/>
    <w:rsid w:val="00FA44E6"/>
    <w:rsid w:val="00FA4991"/>
    <w:rsid w:val="00FA58D1"/>
    <w:rsid w:val="00FA5B32"/>
    <w:rsid w:val="00FA5B37"/>
    <w:rsid w:val="00FA5D03"/>
    <w:rsid w:val="00FA5E68"/>
    <w:rsid w:val="00FA61E0"/>
    <w:rsid w:val="00FA6259"/>
    <w:rsid w:val="00FA66A1"/>
    <w:rsid w:val="00FA67D2"/>
    <w:rsid w:val="00FA6BC8"/>
    <w:rsid w:val="00FA6EB2"/>
    <w:rsid w:val="00FA6FFB"/>
    <w:rsid w:val="00FA7012"/>
    <w:rsid w:val="00FA712C"/>
    <w:rsid w:val="00FA7249"/>
    <w:rsid w:val="00FA7874"/>
    <w:rsid w:val="00FA7B23"/>
    <w:rsid w:val="00FA7B7D"/>
    <w:rsid w:val="00FA7BB0"/>
    <w:rsid w:val="00FA7EED"/>
    <w:rsid w:val="00FA7F1F"/>
    <w:rsid w:val="00FA7F54"/>
    <w:rsid w:val="00FA7F92"/>
    <w:rsid w:val="00FB0063"/>
    <w:rsid w:val="00FB029D"/>
    <w:rsid w:val="00FB0821"/>
    <w:rsid w:val="00FB08F3"/>
    <w:rsid w:val="00FB0BA4"/>
    <w:rsid w:val="00FB0DE6"/>
    <w:rsid w:val="00FB10BB"/>
    <w:rsid w:val="00FB178C"/>
    <w:rsid w:val="00FB17D9"/>
    <w:rsid w:val="00FB17DB"/>
    <w:rsid w:val="00FB1BA5"/>
    <w:rsid w:val="00FB1CB2"/>
    <w:rsid w:val="00FB204A"/>
    <w:rsid w:val="00FB2223"/>
    <w:rsid w:val="00FB2537"/>
    <w:rsid w:val="00FB29DC"/>
    <w:rsid w:val="00FB2B8C"/>
    <w:rsid w:val="00FB30B6"/>
    <w:rsid w:val="00FB319A"/>
    <w:rsid w:val="00FB33E6"/>
    <w:rsid w:val="00FB391D"/>
    <w:rsid w:val="00FB3A3B"/>
    <w:rsid w:val="00FB3B7D"/>
    <w:rsid w:val="00FB3F6E"/>
    <w:rsid w:val="00FB4A82"/>
    <w:rsid w:val="00FB4D30"/>
    <w:rsid w:val="00FB51F7"/>
    <w:rsid w:val="00FB5699"/>
    <w:rsid w:val="00FB5853"/>
    <w:rsid w:val="00FB58E5"/>
    <w:rsid w:val="00FB5D83"/>
    <w:rsid w:val="00FB5DCA"/>
    <w:rsid w:val="00FB6A15"/>
    <w:rsid w:val="00FB6F7B"/>
    <w:rsid w:val="00FB7582"/>
    <w:rsid w:val="00FB7C02"/>
    <w:rsid w:val="00FC09AF"/>
    <w:rsid w:val="00FC0A02"/>
    <w:rsid w:val="00FC0F4C"/>
    <w:rsid w:val="00FC0F9A"/>
    <w:rsid w:val="00FC1545"/>
    <w:rsid w:val="00FC1BFB"/>
    <w:rsid w:val="00FC1CCE"/>
    <w:rsid w:val="00FC1CEE"/>
    <w:rsid w:val="00FC1E26"/>
    <w:rsid w:val="00FC250A"/>
    <w:rsid w:val="00FC29E1"/>
    <w:rsid w:val="00FC3634"/>
    <w:rsid w:val="00FC3676"/>
    <w:rsid w:val="00FC3CF3"/>
    <w:rsid w:val="00FC3DC6"/>
    <w:rsid w:val="00FC4309"/>
    <w:rsid w:val="00FC43E2"/>
    <w:rsid w:val="00FC45E4"/>
    <w:rsid w:val="00FC4689"/>
    <w:rsid w:val="00FC4732"/>
    <w:rsid w:val="00FC4735"/>
    <w:rsid w:val="00FC4841"/>
    <w:rsid w:val="00FC4B8F"/>
    <w:rsid w:val="00FC4DC8"/>
    <w:rsid w:val="00FC4FC0"/>
    <w:rsid w:val="00FC554C"/>
    <w:rsid w:val="00FC569F"/>
    <w:rsid w:val="00FC57BF"/>
    <w:rsid w:val="00FC5BE4"/>
    <w:rsid w:val="00FC5D63"/>
    <w:rsid w:val="00FC601A"/>
    <w:rsid w:val="00FC6060"/>
    <w:rsid w:val="00FC61C7"/>
    <w:rsid w:val="00FC6524"/>
    <w:rsid w:val="00FC655F"/>
    <w:rsid w:val="00FC692E"/>
    <w:rsid w:val="00FC6C7E"/>
    <w:rsid w:val="00FC6FDF"/>
    <w:rsid w:val="00FC70F3"/>
    <w:rsid w:val="00FC72DA"/>
    <w:rsid w:val="00FC750E"/>
    <w:rsid w:val="00FC77C2"/>
    <w:rsid w:val="00FC7C16"/>
    <w:rsid w:val="00FC7E98"/>
    <w:rsid w:val="00FD03DB"/>
    <w:rsid w:val="00FD0928"/>
    <w:rsid w:val="00FD0960"/>
    <w:rsid w:val="00FD09F5"/>
    <w:rsid w:val="00FD1138"/>
    <w:rsid w:val="00FD13D8"/>
    <w:rsid w:val="00FD1465"/>
    <w:rsid w:val="00FD1E4B"/>
    <w:rsid w:val="00FD2147"/>
    <w:rsid w:val="00FD2268"/>
    <w:rsid w:val="00FD2308"/>
    <w:rsid w:val="00FD2638"/>
    <w:rsid w:val="00FD265C"/>
    <w:rsid w:val="00FD2742"/>
    <w:rsid w:val="00FD2888"/>
    <w:rsid w:val="00FD298B"/>
    <w:rsid w:val="00FD2C20"/>
    <w:rsid w:val="00FD2D1D"/>
    <w:rsid w:val="00FD2E36"/>
    <w:rsid w:val="00FD2F3E"/>
    <w:rsid w:val="00FD30D8"/>
    <w:rsid w:val="00FD3252"/>
    <w:rsid w:val="00FD3498"/>
    <w:rsid w:val="00FD3586"/>
    <w:rsid w:val="00FD35D1"/>
    <w:rsid w:val="00FD360A"/>
    <w:rsid w:val="00FD3692"/>
    <w:rsid w:val="00FD3694"/>
    <w:rsid w:val="00FD371E"/>
    <w:rsid w:val="00FD3E2B"/>
    <w:rsid w:val="00FD438A"/>
    <w:rsid w:val="00FD498F"/>
    <w:rsid w:val="00FD4A4D"/>
    <w:rsid w:val="00FD4D54"/>
    <w:rsid w:val="00FD4FE1"/>
    <w:rsid w:val="00FD4FEE"/>
    <w:rsid w:val="00FD51A0"/>
    <w:rsid w:val="00FD5788"/>
    <w:rsid w:val="00FD5BA9"/>
    <w:rsid w:val="00FD5BEA"/>
    <w:rsid w:val="00FD5C79"/>
    <w:rsid w:val="00FD5FD2"/>
    <w:rsid w:val="00FD5FDE"/>
    <w:rsid w:val="00FD628D"/>
    <w:rsid w:val="00FD630C"/>
    <w:rsid w:val="00FD637E"/>
    <w:rsid w:val="00FD6537"/>
    <w:rsid w:val="00FD6A40"/>
    <w:rsid w:val="00FD6E00"/>
    <w:rsid w:val="00FD7717"/>
    <w:rsid w:val="00FD7813"/>
    <w:rsid w:val="00FD7BF5"/>
    <w:rsid w:val="00FD7CCA"/>
    <w:rsid w:val="00FD7D2F"/>
    <w:rsid w:val="00FD7EDF"/>
    <w:rsid w:val="00FE0139"/>
    <w:rsid w:val="00FE0486"/>
    <w:rsid w:val="00FE067F"/>
    <w:rsid w:val="00FE1C64"/>
    <w:rsid w:val="00FE202C"/>
    <w:rsid w:val="00FE237C"/>
    <w:rsid w:val="00FE2569"/>
    <w:rsid w:val="00FE26DE"/>
    <w:rsid w:val="00FE28F8"/>
    <w:rsid w:val="00FE2B2B"/>
    <w:rsid w:val="00FE3153"/>
    <w:rsid w:val="00FE31D8"/>
    <w:rsid w:val="00FE320F"/>
    <w:rsid w:val="00FE3AE6"/>
    <w:rsid w:val="00FE3CD8"/>
    <w:rsid w:val="00FE3D2A"/>
    <w:rsid w:val="00FE4A7F"/>
    <w:rsid w:val="00FE513C"/>
    <w:rsid w:val="00FE52F5"/>
    <w:rsid w:val="00FE536E"/>
    <w:rsid w:val="00FE5419"/>
    <w:rsid w:val="00FE54DA"/>
    <w:rsid w:val="00FE568B"/>
    <w:rsid w:val="00FE56FF"/>
    <w:rsid w:val="00FE5C61"/>
    <w:rsid w:val="00FE6463"/>
    <w:rsid w:val="00FE6472"/>
    <w:rsid w:val="00FE679D"/>
    <w:rsid w:val="00FE695E"/>
    <w:rsid w:val="00FE6A08"/>
    <w:rsid w:val="00FE6CD4"/>
    <w:rsid w:val="00FE73BD"/>
    <w:rsid w:val="00FE763B"/>
    <w:rsid w:val="00FE771C"/>
    <w:rsid w:val="00FE790C"/>
    <w:rsid w:val="00FE7DF4"/>
    <w:rsid w:val="00FF008C"/>
    <w:rsid w:val="00FF0280"/>
    <w:rsid w:val="00FF03EF"/>
    <w:rsid w:val="00FF075D"/>
    <w:rsid w:val="00FF0765"/>
    <w:rsid w:val="00FF0A01"/>
    <w:rsid w:val="00FF0E93"/>
    <w:rsid w:val="00FF0F68"/>
    <w:rsid w:val="00FF0FFC"/>
    <w:rsid w:val="00FF18BF"/>
    <w:rsid w:val="00FF1A6E"/>
    <w:rsid w:val="00FF21EB"/>
    <w:rsid w:val="00FF2328"/>
    <w:rsid w:val="00FF2596"/>
    <w:rsid w:val="00FF26FB"/>
    <w:rsid w:val="00FF2F5A"/>
    <w:rsid w:val="00FF34E3"/>
    <w:rsid w:val="00FF370C"/>
    <w:rsid w:val="00FF399C"/>
    <w:rsid w:val="00FF3D02"/>
    <w:rsid w:val="00FF4085"/>
    <w:rsid w:val="00FF4914"/>
    <w:rsid w:val="00FF4BA4"/>
    <w:rsid w:val="00FF4BC1"/>
    <w:rsid w:val="00FF50C2"/>
    <w:rsid w:val="00FF53A7"/>
    <w:rsid w:val="00FF60EE"/>
    <w:rsid w:val="00FF674B"/>
    <w:rsid w:val="00FF694C"/>
    <w:rsid w:val="00FF6ADD"/>
    <w:rsid w:val="00FF6C41"/>
    <w:rsid w:val="00FF6F4F"/>
    <w:rsid w:val="00FF6F82"/>
    <w:rsid w:val="00FF729B"/>
    <w:rsid w:val="00FF7391"/>
    <w:rsid w:val="00FF7659"/>
    <w:rsid w:val="00FF7C57"/>
    <w:rsid w:val="00FF7C6B"/>
    <w:rsid w:val="00FF7CAB"/>
    <w:rsid w:val="01018997"/>
    <w:rsid w:val="01103359"/>
    <w:rsid w:val="014FB9FA"/>
    <w:rsid w:val="019539CF"/>
    <w:rsid w:val="019DEBB3"/>
    <w:rsid w:val="01A5E8EA"/>
    <w:rsid w:val="01C44DA1"/>
    <w:rsid w:val="02078990"/>
    <w:rsid w:val="0259A768"/>
    <w:rsid w:val="025A9DE2"/>
    <w:rsid w:val="02929AF6"/>
    <w:rsid w:val="033DF595"/>
    <w:rsid w:val="03961392"/>
    <w:rsid w:val="0481E8F0"/>
    <w:rsid w:val="04A99DE7"/>
    <w:rsid w:val="04D6141E"/>
    <w:rsid w:val="056EA26A"/>
    <w:rsid w:val="0616E8F6"/>
    <w:rsid w:val="068F6C97"/>
    <w:rsid w:val="0729D475"/>
    <w:rsid w:val="07910992"/>
    <w:rsid w:val="07B7F261"/>
    <w:rsid w:val="0860FBBC"/>
    <w:rsid w:val="0867578E"/>
    <w:rsid w:val="08AE5C64"/>
    <w:rsid w:val="0930455A"/>
    <w:rsid w:val="095A75BD"/>
    <w:rsid w:val="097DF3B7"/>
    <w:rsid w:val="0A073D78"/>
    <w:rsid w:val="0AB2B344"/>
    <w:rsid w:val="0B6F7BB4"/>
    <w:rsid w:val="0B9A9B3A"/>
    <w:rsid w:val="0BC590CD"/>
    <w:rsid w:val="0C685AAF"/>
    <w:rsid w:val="0C6B1A7D"/>
    <w:rsid w:val="0C9937F3"/>
    <w:rsid w:val="0CC5BE04"/>
    <w:rsid w:val="0D665D12"/>
    <w:rsid w:val="0DEB7D1B"/>
    <w:rsid w:val="0E080C9B"/>
    <w:rsid w:val="0F695612"/>
    <w:rsid w:val="0FA41CB3"/>
    <w:rsid w:val="0FC89F53"/>
    <w:rsid w:val="1022B3F4"/>
    <w:rsid w:val="10D6778E"/>
    <w:rsid w:val="10E55B6D"/>
    <w:rsid w:val="110D508C"/>
    <w:rsid w:val="112485BB"/>
    <w:rsid w:val="11D72185"/>
    <w:rsid w:val="1200656F"/>
    <w:rsid w:val="127AFD57"/>
    <w:rsid w:val="1342272F"/>
    <w:rsid w:val="13B1DDAC"/>
    <w:rsid w:val="1442A0B4"/>
    <w:rsid w:val="14B10BE1"/>
    <w:rsid w:val="15B402ED"/>
    <w:rsid w:val="160BC904"/>
    <w:rsid w:val="162F2635"/>
    <w:rsid w:val="165A2FD5"/>
    <w:rsid w:val="1677295B"/>
    <w:rsid w:val="16789D77"/>
    <w:rsid w:val="16F72C75"/>
    <w:rsid w:val="17986F09"/>
    <w:rsid w:val="1930B483"/>
    <w:rsid w:val="1948C549"/>
    <w:rsid w:val="1A0CE50C"/>
    <w:rsid w:val="1A3AACC2"/>
    <w:rsid w:val="1A5EE48D"/>
    <w:rsid w:val="1AC02819"/>
    <w:rsid w:val="1ADC8D7D"/>
    <w:rsid w:val="1B40FADC"/>
    <w:rsid w:val="1B6BB8D4"/>
    <w:rsid w:val="1B73E218"/>
    <w:rsid w:val="1BDE4CB1"/>
    <w:rsid w:val="1CA8C399"/>
    <w:rsid w:val="1CC2B0E3"/>
    <w:rsid w:val="1CD84C28"/>
    <w:rsid w:val="1D175A83"/>
    <w:rsid w:val="1E0F639D"/>
    <w:rsid w:val="1ED04903"/>
    <w:rsid w:val="1F00184C"/>
    <w:rsid w:val="1F92D4F1"/>
    <w:rsid w:val="1FB33521"/>
    <w:rsid w:val="2004B9FE"/>
    <w:rsid w:val="20191DBE"/>
    <w:rsid w:val="205C5750"/>
    <w:rsid w:val="2072DFEE"/>
    <w:rsid w:val="211B5809"/>
    <w:rsid w:val="21527823"/>
    <w:rsid w:val="21F9D069"/>
    <w:rsid w:val="224A7F9E"/>
    <w:rsid w:val="224E1D9E"/>
    <w:rsid w:val="2282DFD8"/>
    <w:rsid w:val="228C9529"/>
    <w:rsid w:val="228F376B"/>
    <w:rsid w:val="229E451D"/>
    <w:rsid w:val="23F06485"/>
    <w:rsid w:val="254CF39D"/>
    <w:rsid w:val="25A0CA47"/>
    <w:rsid w:val="25A9E628"/>
    <w:rsid w:val="26AAC12C"/>
    <w:rsid w:val="26DD8283"/>
    <w:rsid w:val="27180861"/>
    <w:rsid w:val="27B3FF4A"/>
    <w:rsid w:val="282D358A"/>
    <w:rsid w:val="28418EF0"/>
    <w:rsid w:val="291E6F49"/>
    <w:rsid w:val="2991D2E5"/>
    <w:rsid w:val="2A0F4D8D"/>
    <w:rsid w:val="2A4CC895"/>
    <w:rsid w:val="2A7E0C15"/>
    <w:rsid w:val="2ACE4FB6"/>
    <w:rsid w:val="2C19664C"/>
    <w:rsid w:val="2C1F015E"/>
    <w:rsid w:val="2CCEDA34"/>
    <w:rsid w:val="2D9CD15F"/>
    <w:rsid w:val="2DC96914"/>
    <w:rsid w:val="2E611FDB"/>
    <w:rsid w:val="2E7E3A42"/>
    <w:rsid w:val="2ECB26C6"/>
    <w:rsid w:val="2ED8C175"/>
    <w:rsid w:val="30992C15"/>
    <w:rsid w:val="30BD4C43"/>
    <w:rsid w:val="313B8AC9"/>
    <w:rsid w:val="319C6209"/>
    <w:rsid w:val="321BD9E7"/>
    <w:rsid w:val="32A55338"/>
    <w:rsid w:val="32EB43F1"/>
    <w:rsid w:val="32FEF034"/>
    <w:rsid w:val="33C283BB"/>
    <w:rsid w:val="34238B15"/>
    <w:rsid w:val="344FDC09"/>
    <w:rsid w:val="3472D727"/>
    <w:rsid w:val="34B291F2"/>
    <w:rsid w:val="350F7302"/>
    <w:rsid w:val="3518FEA7"/>
    <w:rsid w:val="354DD739"/>
    <w:rsid w:val="35B0DFFF"/>
    <w:rsid w:val="36181BE8"/>
    <w:rsid w:val="364149AF"/>
    <w:rsid w:val="36B39E20"/>
    <w:rsid w:val="3769C891"/>
    <w:rsid w:val="379DBB3D"/>
    <w:rsid w:val="379E62C8"/>
    <w:rsid w:val="38005E2E"/>
    <w:rsid w:val="38137EF0"/>
    <w:rsid w:val="3847A6D3"/>
    <w:rsid w:val="39ECEB32"/>
    <w:rsid w:val="3B0133BB"/>
    <w:rsid w:val="3B94DA1F"/>
    <w:rsid w:val="3B9D9137"/>
    <w:rsid w:val="3C0C29D0"/>
    <w:rsid w:val="3C6109FA"/>
    <w:rsid w:val="3D5B7AD5"/>
    <w:rsid w:val="3DB6D36E"/>
    <w:rsid w:val="3E0AAC09"/>
    <w:rsid w:val="3E330FB5"/>
    <w:rsid w:val="3F5B04E6"/>
    <w:rsid w:val="3F931684"/>
    <w:rsid w:val="3FB37714"/>
    <w:rsid w:val="40165FA6"/>
    <w:rsid w:val="40C08298"/>
    <w:rsid w:val="41D648FF"/>
    <w:rsid w:val="4263B1A9"/>
    <w:rsid w:val="4283F6B8"/>
    <w:rsid w:val="42895C3F"/>
    <w:rsid w:val="4349B693"/>
    <w:rsid w:val="436B952B"/>
    <w:rsid w:val="43FC5A7D"/>
    <w:rsid w:val="444EB19B"/>
    <w:rsid w:val="445339D7"/>
    <w:rsid w:val="445DDDA4"/>
    <w:rsid w:val="4566D5DD"/>
    <w:rsid w:val="4586AD4D"/>
    <w:rsid w:val="45F33337"/>
    <w:rsid w:val="47028B8B"/>
    <w:rsid w:val="470F5F1C"/>
    <w:rsid w:val="477054F6"/>
    <w:rsid w:val="48863498"/>
    <w:rsid w:val="488EE80C"/>
    <w:rsid w:val="48F24B33"/>
    <w:rsid w:val="4958FAF3"/>
    <w:rsid w:val="4AC5CCF8"/>
    <w:rsid w:val="4BC72879"/>
    <w:rsid w:val="4C0ED602"/>
    <w:rsid w:val="4C65DC4D"/>
    <w:rsid w:val="4CE7B5BB"/>
    <w:rsid w:val="4D3742EF"/>
    <w:rsid w:val="4D7DEB33"/>
    <w:rsid w:val="4D8BCE3C"/>
    <w:rsid w:val="4DB43CF3"/>
    <w:rsid w:val="4DCBB714"/>
    <w:rsid w:val="4EF42F80"/>
    <w:rsid w:val="4F020776"/>
    <w:rsid w:val="4F652668"/>
    <w:rsid w:val="4FAFAE8B"/>
    <w:rsid w:val="4FB05D8B"/>
    <w:rsid w:val="502F5055"/>
    <w:rsid w:val="50E15CB8"/>
    <w:rsid w:val="51497DD6"/>
    <w:rsid w:val="51BE225D"/>
    <w:rsid w:val="523A80AC"/>
    <w:rsid w:val="53247384"/>
    <w:rsid w:val="5376E3D3"/>
    <w:rsid w:val="53BFCCE5"/>
    <w:rsid w:val="542F81C9"/>
    <w:rsid w:val="54E7F6CD"/>
    <w:rsid w:val="54F9FBD7"/>
    <w:rsid w:val="555FE69A"/>
    <w:rsid w:val="55F58DB1"/>
    <w:rsid w:val="572C76B4"/>
    <w:rsid w:val="57491658"/>
    <w:rsid w:val="578A3B8D"/>
    <w:rsid w:val="58076E76"/>
    <w:rsid w:val="5813A122"/>
    <w:rsid w:val="583D3DF2"/>
    <w:rsid w:val="5869712B"/>
    <w:rsid w:val="596F8EEF"/>
    <w:rsid w:val="5A3732B1"/>
    <w:rsid w:val="5ABDFB6A"/>
    <w:rsid w:val="5B04EA5B"/>
    <w:rsid w:val="5B2BA9F2"/>
    <w:rsid w:val="5BFB0CF1"/>
    <w:rsid w:val="5C07402C"/>
    <w:rsid w:val="5C2EEDAC"/>
    <w:rsid w:val="5C304BD1"/>
    <w:rsid w:val="5C3CCF30"/>
    <w:rsid w:val="5C84FACF"/>
    <w:rsid w:val="5CD22DCF"/>
    <w:rsid w:val="5CD63467"/>
    <w:rsid w:val="5CF753E7"/>
    <w:rsid w:val="5D059F96"/>
    <w:rsid w:val="5D38E63F"/>
    <w:rsid w:val="5D48F321"/>
    <w:rsid w:val="5D67F014"/>
    <w:rsid w:val="5DADA7CF"/>
    <w:rsid w:val="5DDF10AC"/>
    <w:rsid w:val="5DF47988"/>
    <w:rsid w:val="5E2F30DD"/>
    <w:rsid w:val="5E3796E3"/>
    <w:rsid w:val="5E7A97D7"/>
    <w:rsid w:val="5F2689AB"/>
    <w:rsid w:val="5F34A6EC"/>
    <w:rsid w:val="5F4AD9F1"/>
    <w:rsid w:val="5F6CFF5B"/>
    <w:rsid w:val="5F85C99A"/>
    <w:rsid w:val="5F905B88"/>
    <w:rsid w:val="5FC1FD06"/>
    <w:rsid w:val="606FB7FA"/>
    <w:rsid w:val="609A9057"/>
    <w:rsid w:val="609AD004"/>
    <w:rsid w:val="60E1EBA7"/>
    <w:rsid w:val="611D62BA"/>
    <w:rsid w:val="621CC136"/>
    <w:rsid w:val="6250BC71"/>
    <w:rsid w:val="62849B2D"/>
    <w:rsid w:val="62A1B2B3"/>
    <w:rsid w:val="62AD3A9F"/>
    <w:rsid w:val="62E6FCE1"/>
    <w:rsid w:val="62F2397D"/>
    <w:rsid w:val="6314CF3F"/>
    <w:rsid w:val="6321A7D3"/>
    <w:rsid w:val="6481F597"/>
    <w:rsid w:val="649099BA"/>
    <w:rsid w:val="656D9CA2"/>
    <w:rsid w:val="656DC7C2"/>
    <w:rsid w:val="660349DA"/>
    <w:rsid w:val="6657B441"/>
    <w:rsid w:val="66AD0518"/>
    <w:rsid w:val="66CB6680"/>
    <w:rsid w:val="66E53ECA"/>
    <w:rsid w:val="673C882E"/>
    <w:rsid w:val="6774F019"/>
    <w:rsid w:val="6777D8B8"/>
    <w:rsid w:val="67BA9697"/>
    <w:rsid w:val="67C7E047"/>
    <w:rsid w:val="683A395F"/>
    <w:rsid w:val="6889DF60"/>
    <w:rsid w:val="6897BB1D"/>
    <w:rsid w:val="69208021"/>
    <w:rsid w:val="692D20AC"/>
    <w:rsid w:val="6A1D9214"/>
    <w:rsid w:val="6ACCC110"/>
    <w:rsid w:val="6B4C43FF"/>
    <w:rsid w:val="6B4CD03F"/>
    <w:rsid w:val="6B743FFB"/>
    <w:rsid w:val="6BBA2C96"/>
    <w:rsid w:val="6BE25FC3"/>
    <w:rsid w:val="6C07EB65"/>
    <w:rsid w:val="6C210350"/>
    <w:rsid w:val="6C7DB929"/>
    <w:rsid w:val="6CC8B977"/>
    <w:rsid w:val="6D11BF01"/>
    <w:rsid w:val="6D28BF01"/>
    <w:rsid w:val="6EBB4644"/>
    <w:rsid w:val="6F122108"/>
    <w:rsid w:val="6FB3D250"/>
    <w:rsid w:val="6FF70609"/>
    <w:rsid w:val="70D5DB7B"/>
    <w:rsid w:val="70F5E013"/>
    <w:rsid w:val="716632C1"/>
    <w:rsid w:val="7169C16D"/>
    <w:rsid w:val="724C6CFF"/>
    <w:rsid w:val="7331B615"/>
    <w:rsid w:val="73531EBF"/>
    <w:rsid w:val="73964E6A"/>
    <w:rsid w:val="74EFECCA"/>
    <w:rsid w:val="75040188"/>
    <w:rsid w:val="75F0929D"/>
    <w:rsid w:val="763C5776"/>
    <w:rsid w:val="76CBD166"/>
    <w:rsid w:val="7739983E"/>
    <w:rsid w:val="776DDD30"/>
    <w:rsid w:val="7844B02E"/>
    <w:rsid w:val="78B57180"/>
    <w:rsid w:val="7999006F"/>
    <w:rsid w:val="79E8F520"/>
    <w:rsid w:val="7A01C71E"/>
    <w:rsid w:val="7A72B61E"/>
    <w:rsid w:val="7B9C05E1"/>
    <w:rsid w:val="7BA39E06"/>
    <w:rsid w:val="7BAD260B"/>
    <w:rsid w:val="7BB0D28B"/>
    <w:rsid w:val="7C244BF2"/>
    <w:rsid w:val="7CB3DA09"/>
    <w:rsid w:val="7D37CD2A"/>
    <w:rsid w:val="7D4372DD"/>
    <w:rsid w:val="7E0508F7"/>
    <w:rsid w:val="7E5CA992"/>
    <w:rsid w:val="7E74FFE4"/>
    <w:rsid w:val="7E93C729"/>
    <w:rsid w:val="7EAEFB4E"/>
    <w:rsid w:val="7EBF9F21"/>
    <w:rsid w:val="7FA1F82E"/>
    <w:rsid w:val="7FAD07B1"/>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40EB091A"/>
  <w15:docId w15:val="{AE416325-7536-44F7-A633-E209318AF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Open Sans"/>
        <w:color w:val="191919"/>
        <w:sz w:val="18"/>
        <w:szCs w:val="18"/>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3A73"/>
    <w:pPr>
      <w:suppressAutoHyphens/>
      <w:autoSpaceDE w:val="0"/>
      <w:autoSpaceDN w:val="0"/>
      <w:adjustRightInd w:val="0"/>
      <w:spacing w:after="240" w:line="288" w:lineRule="auto"/>
      <w:textAlignment w:val="center"/>
    </w:pPr>
    <w:rPr>
      <w:color w:val="auto"/>
      <w:sz w:val="24"/>
      <w:szCs w:val="36"/>
    </w:rPr>
  </w:style>
  <w:style w:type="paragraph" w:styleId="Heading1">
    <w:name w:val="heading 1"/>
    <w:basedOn w:val="h2"/>
    <w:next w:val="Normal"/>
    <w:link w:val="Heading1Char"/>
    <w:uiPriority w:val="9"/>
    <w:qFormat/>
    <w:rsid w:val="003830B8"/>
    <w:pPr>
      <w:pageBreakBefore/>
      <w:spacing w:before="0" w:after="360"/>
      <w:outlineLvl w:val="0"/>
    </w:pPr>
    <w:rPr>
      <w:rFonts w:eastAsiaTheme="minorHAnsi"/>
      <w:color w:val="auto"/>
      <w:sz w:val="48"/>
      <w:szCs w:val="48"/>
    </w:rPr>
  </w:style>
  <w:style w:type="paragraph" w:styleId="Heading2">
    <w:name w:val="heading 2"/>
    <w:basedOn w:val="h3"/>
    <w:next w:val="Normal"/>
    <w:link w:val="Heading2Char"/>
    <w:uiPriority w:val="9"/>
    <w:unhideWhenUsed/>
    <w:qFormat/>
    <w:rsid w:val="003830B8"/>
    <w:pPr>
      <w:pBdr>
        <w:bottom w:val="none" w:sz="0" w:space="0" w:color="auto"/>
      </w:pBdr>
      <w:outlineLvl w:val="1"/>
    </w:pPr>
    <w:rPr>
      <w:rFonts w:ascii="Arial Bold" w:hAnsi="Arial Bold"/>
      <w:color w:val="auto"/>
      <w:sz w:val="32"/>
      <w:szCs w:val="18"/>
    </w:rPr>
  </w:style>
  <w:style w:type="paragraph" w:styleId="Heading3">
    <w:name w:val="heading 3"/>
    <w:basedOn w:val="Normal"/>
    <w:next w:val="Normal"/>
    <w:link w:val="Heading3Char"/>
    <w:uiPriority w:val="9"/>
    <w:unhideWhenUsed/>
    <w:qFormat/>
    <w:rsid w:val="003830B8"/>
    <w:pPr>
      <w:keepNext/>
      <w:keepLines/>
      <w:spacing w:after="120"/>
      <w:outlineLvl w:val="2"/>
    </w:pPr>
    <w:rPr>
      <w:b/>
      <w:bCs/>
      <w:sz w:val="28"/>
      <w:szCs w:val="28"/>
    </w:rPr>
  </w:style>
  <w:style w:type="paragraph" w:styleId="Heading4">
    <w:name w:val="heading 4"/>
    <w:basedOn w:val="Normal"/>
    <w:next w:val="Normal"/>
    <w:link w:val="Heading4Char"/>
    <w:uiPriority w:val="9"/>
    <w:unhideWhenUsed/>
    <w:qFormat/>
    <w:rsid w:val="00096ADF"/>
    <w:pPr>
      <w:keepNext/>
      <w:keepLines/>
      <w:spacing w:after="60"/>
      <w:outlineLvl w:val="3"/>
    </w:pPr>
    <w:rPr>
      <w:b/>
      <w:bCs/>
      <w:sz w:val="26"/>
      <w:szCs w:val="26"/>
    </w:rPr>
  </w:style>
  <w:style w:type="paragraph" w:styleId="Heading5">
    <w:name w:val="heading 5"/>
    <w:basedOn w:val="Heading4"/>
    <w:next w:val="Normal"/>
    <w:link w:val="Heading5Char"/>
    <w:uiPriority w:val="9"/>
    <w:unhideWhenUsed/>
    <w:qFormat/>
    <w:rsid w:val="00096ADF"/>
    <w:pPr>
      <w:spacing w:before="60" w:after="120"/>
      <w:outlineLvl w:val="4"/>
    </w:pPr>
    <w:rPr>
      <w:b w:val="0"/>
      <w:bCs w:val="0"/>
      <w:color w:val="474E67"/>
    </w:rPr>
  </w:style>
  <w:style w:type="paragraph" w:styleId="Heading6">
    <w:name w:val="heading 6"/>
    <w:basedOn w:val="Normal"/>
    <w:next w:val="Normal"/>
    <w:link w:val="Heading6Char"/>
    <w:uiPriority w:val="9"/>
    <w:qFormat/>
    <w:rsid w:val="003830B8"/>
    <w:pPr>
      <w:keepNext/>
      <w:keepLines/>
      <w:suppressAutoHyphens w:val="0"/>
      <w:autoSpaceDE/>
      <w:autoSpaceDN/>
      <w:adjustRightInd/>
      <w:spacing w:before="520" w:after="160"/>
      <w:textAlignment w:val="auto"/>
      <w:outlineLvl w:val="5"/>
    </w:pPr>
    <w:rPr>
      <w:rFonts w:cs="Arial"/>
      <w:b/>
      <w:bCs/>
      <w:noProof/>
      <w:spacing w:val="-1"/>
      <w:sz w:val="26"/>
      <w:szCs w:val="26"/>
    </w:rPr>
  </w:style>
  <w:style w:type="paragraph" w:styleId="Heading7">
    <w:name w:val="heading 7"/>
    <w:basedOn w:val="Normal"/>
    <w:next w:val="Normal"/>
    <w:link w:val="Heading7Char"/>
    <w:uiPriority w:val="9"/>
    <w:semiHidden/>
    <w:unhideWhenUsed/>
    <w:qFormat/>
    <w:rsid w:val="00705A1C"/>
    <w:pPr>
      <w:keepNext/>
      <w:keepLines/>
      <w:spacing w:before="40" w:after="0"/>
      <w:outlineLvl w:val="6"/>
    </w:pPr>
    <w:rPr>
      <w:rFonts w:eastAsia="Times New Roman" w:cs="Times New Roman"/>
      <w:color w:val="595959"/>
      <w:sz w:val="18"/>
      <w:szCs w:val="18"/>
    </w:rPr>
  </w:style>
  <w:style w:type="paragraph" w:styleId="Heading8">
    <w:name w:val="heading 8"/>
    <w:basedOn w:val="Normal"/>
    <w:next w:val="Normal"/>
    <w:link w:val="Heading8Char"/>
    <w:uiPriority w:val="9"/>
    <w:semiHidden/>
    <w:unhideWhenUsed/>
    <w:qFormat/>
    <w:rsid w:val="00705A1C"/>
    <w:pPr>
      <w:keepNext/>
      <w:keepLines/>
      <w:spacing w:before="40" w:after="0"/>
      <w:outlineLvl w:val="7"/>
    </w:pPr>
    <w:rPr>
      <w:rFonts w:eastAsia="Times New Roman" w:cs="Times New Roman"/>
      <w:i/>
      <w:iCs/>
      <w:color w:val="272727"/>
      <w:sz w:val="18"/>
      <w:szCs w:val="18"/>
    </w:rPr>
  </w:style>
  <w:style w:type="paragraph" w:styleId="Heading9">
    <w:name w:val="heading 9"/>
    <w:basedOn w:val="Normal"/>
    <w:next w:val="Normal"/>
    <w:link w:val="Heading9Char"/>
    <w:uiPriority w:val="9"/>
    <w:semiHidden/>
    <w:unhideWhenUsed/>
    <w:qFormat/>
    <w:rsid w:val="00705A1C"/>
    <w:pPr>
      <w:keepNext/>
      <w:keepLines/>
      <w:spacing w:before="40" w:after="0"/>
      <w:outlineLvl w:val="8"/>
    </w:pPr>
    <w:rPr>
      <w:rFonts w:eastAsia="Times New Roman" w:cs="Times New Roman"/>
      <w:color w:val="272727"/>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0B8"/>
    <w:rPr>
      <w:b/>
      <w:color w:val="auto"/>
      <w:sz w:val="48"/>
      <w:szCs w:val="48"/>
      <w:lang w:val="en-GB"/>
    </w:rPr>
  </w:style>
  <w:style w:type="character" w:customStyle="1" w:styleId="Heading2Char">
    <w:name w:val="Heading 2 Char"/>
    <w:basedOn w:val="DefaultParagraphFont"/>
    <w:link w:val="Heading2"/>
    <w:uiPriority w:val="9"/>
    <w:rsid w:val="003830B8"/>
    <w:rPr>
      <w:rFonts w:ascii="Arial Bold" w:hAnsi="Arial Bold"/>
      <w:b/>
      <w:color w:val="auto"/>
      <w:sz w:val="32"/>
      <w:lang w:val="en-GB"/>
    </w:rPr>
  </w:style>
  <w:style w:type="character" w:customStyle="1" w:styleId="Heading3Char">
    <w:name w:val="Heading 3 Char"/>
    <w:basedOn w:val="DefaultParagraphFont"/>
    <w:link w:val="Heading3"/>
    <w:uiPriority w:val="9"/>
    <w:rsid w:val="003830B8"/>
    <w:rPr>
      <w:b/>
      <w:bCs/>
      <w:color w:val="auto"/>
      <w:sz w:val="28"/>
      <w:szCs w:val="28"/>
    </w:rPr>
  </w:style>
  <w:style w:type="character" w:styleId="Hyperlink">
    <w:name w:val="Hyperlink"/>
    <w:basedOn w:val="DefaultParagraphFont"/>
    <w:uiPriority w:val="99"/>
    <w:unhideWhenUsed/>
    <w:rsid w:val="00EC6449"/>
    <w:rPr>
      <w:iCs/>
      <w:color w:val="595959" w:themeColor="text1" w:themeTint="A6"/>
      <w:kern w:val="2"/>
      <w:szCs w:val="16"/>
    </w:rPr>
  </w:style>
  <w:style w:type="paragraph" w:customStyle="1" w:styleId="Bullets0">
    <w:name w:val="Bullets"/>
    <w:basedOn w:val="Normal"/>
    <w:uiPriority w:val="19"/>
    <w:rsid w:val="00714B62"/>
    <w:pPr>
      <w:numPr>
        <w:numId w:val="8"/>
      </w:numPr>
      <w:ind w:left="284" w:hanging="284"/>
    </w:pPr>
    <w:rPr>
      <w:rFonts w:eastAsiaTheme="minorEastAsia"/>
      <w:lang w:eastAsia="ko-KR"/>
    </w:rPr>
  </w:style>
  <w:style w:type="paragraph" w:styleId="ListParagraph">
    <w:name w:val="List Paragraph"/>
    <w:basedOn w:val="Normal"/>
    <w:link w:val="ListParagraphChar"/>
    <w:uiPriority w:val="34"/>
    <w:qFormat/>
    <w:rsid w:val="005C4AF4"/>
    <w:pPr>
      <w:numPr>
        <w:numId w:val="7"/>
      </w:numPr>
      <w:spacing w:after="180"/>
      <w:ind w:left="454" w:hanging="454"/>
    </w:pPr>
    <w:rPr>
      <w:lang w:val="en-GB"/>
    </w:rPr>
  </w:style>
  <w:style w:type="paragraph" w:styleId="Header">
    <w:name w:val="header"/>
    <w:basedOn w:val="Normal"/>
    <w:link w:val="HeaderChar"/>
    <w:uiPriority w:val="99"/>
    <w:unhideWhenUsed/>
    <w:rsid w:val="004925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5F5"/>
    <w:rPr>
      <w:spacing w:val="-1"/>
    </w:rPr>
  </w:style>
  <w:style w:type="character" w:styleId="FootnoteReference">
    <w:name w:val="footnote reference"/>
    <w:basedOn w:val="DefaultParagraphFont"/>
    <w:uiPriority w:val="99"/>
    <w:unhideWhenUsed/>
    <w:rsid w:val="00237D28"/>
    <w:rPr>
      <w:vertAlign w:val="superscript"/>
    </w:rPr>
  </w:style>
  <w:style w:type="table" w:styleId="TableGrid">
    <w:name w:val="Table Grid"/>
    <w:basedOn w:val="TableNormal"/>
    <w:uiPriority w:val="39"/>
    <w:rsid w:val="00237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xbullet">
    <w:name w:val="*table/box bullet"/>
    <w:basedOn w:val="Bullets0"/>
    <w:uiPriority w:val="9"/>
    <w:semiHidden/>
    <w:qFormat/>
    <w:rsid w:val="000E62FE"/>
    <w:pPr>
      <w:numPr>
        <w:numId w:val="1"/>
      </w:numPr>
      <w:spacing w:after="40" w:line="300" w:lineRule="auto"/>
    </w:pPr>
  </w:style>
  <w:style w:type="paragraph" w:customStyle="1" w:styleId="tablebodyheading">
    <w:name w:val="*table body heading"/>
    <w:basedOn w:val="tableboxbody"/>
    <w:uiPriority w:val="9"/>
    <w:semiHidden/>
    <w:qFormat/>
    <w:rsid w:val="007F5610"/>
    <w:rPr>
      <w:b/>
      <w:color w:val="505669" w:themeColor="text2"/>
    </w:rPr>
  </w:style>
  <w:style w:type="paragraph" w:customStyle="1" w:styleId="h5">
    <w:name w:val="*h5"/>
    <w:basedOn w:val="h4"/>
    <w:uiPriority w:val="9"/>
    <w:semiHidden/>
    <w:qFormat/>
    <w:rsid w:val="00A22F3F"/>
    <w:pPr>
      <w:spacing w:before="180" w:line="300" w:lineRule="auto"/>
    </w:pPr>
    <w:rPr>
      <w:sz w:val="18"/>
      <w:szCs w:val="16"/>
    </w:rPr>
  </w:style>
  <w:style w:type="paragraph" w:styleId="Footer">
    <w:name w:val="footer"/>
    <w:basedOn w:val="Normal"/>
    <w:link w:val="FooterChar"/>
    <w:uiPriority w:val="99"/>
    <w:unhideWhenUsed/>
    <w:rsid w:val="003830B8"/>
    <w:pPr>
      <w:tabs>
        <w:tab w:val="right" w:pos="9072"/>
      </w:tabs>
      <w:spacing w:after="0" w:line="240" w:lineRule="auto"/>
    </w:pPr>
    <w:rPr>
      <w:caps/>
      <w:sz w:val="16"/>
      <w:szCs w:val="16"/>
    </w:rPr>
  </w:style>
  <w:style w:type="character" w:customStyle="1" w:styleId="FooterChar">
    <w:name w:val="Footer Char"/>
    <w:basedOn w:val="DefaultParagraphFont"/>
    <w:link w:val="Footer"/>
    <w:uiPriority w:val="99"/>
    <w:rsid w:val="003830B8"/>
    <w:rPr>
      <w:caps/>
      <w:color w:val="auto"/>
      <w:sz w:val="16"/>
      <w:szCs w:val="16"/>
    </w:rPr>
  </w:style>
  <w:style w:type="character" w:styleId="UnresolvedMention">
    <w:name w:val="Unresolved Mention"/>
    <w:basedOn w:val="DefaultParagraphFont"/>
    <w:uiPriority w:val="99"/>
    <w:semiHidden/>
    <w:unhideWhenUsed/>
    <w:rsid w:val="00530ABC"/>
    <w:rPr>
      <w:color w:val="605E5C"/>
      <w:shd w:val="clear" w:color="auto" w:fill="E1DFDD"/>
    </w:rPr>
  </w:style>
  <w:style w:type="paragraph" w:styleId="Revision">
    <w:name w:val="Revision"/>
    <w:hidden/>
    <w:uiPriority w:val="99"/>
    <w:semiHidden/>
    <w:rsid w:val="007E645A"/>
    <w:pPr>
      <w:spacing w:after="0" w:line="240" w:lineRule="auto"/>
    </w:pPr>
    <w:rPr>
      <w:rFonts w:ascii="Source Sans Pro" w:eastAsia="Times New Roman" w:hAnsi="Source Sans Pro"/>
      <w:color w:val="333332"/>
      <w:sz w:val="20"/>
      <w:szCs w:val="20"/>
    </w:rPr>
  </w:style>
  <w:style w:type="character" w:styleId="CommentReference">
    <w:name w:val="annotation reference"/>
    <w:basedOn w:val="DefaultParagraphFont"/>
    <w:uiPriority w:val="99"/>
    <w:semiHidden/>
    <w:unhideWhenUsed/>
    <w:rsid w:val="007E645A"/>
    <w:rPr>
      <w:sz w:val="16"/>
      <w:szCs w:val="16"/>
    </w:rPr>
  </w:style>
  <w:style w:type="paragraph" w:styleId="CommentSubject">
    <w:name w:val="annotation subject"/>
    <w:basedOn w:val="Normal"/>
    <w:next w:val="Normal"/>
    <w:link w:val="CommentSubjectChar"/>
    <w:uiPriority w:val="99"/>
    <w:semiHidden/>
    <w:unhideWhenUsed/>
    <w:rsid w:val="003B5FC5"/>
    <w:pPr>
      <w:spacing w:line="240" w:lineRule="auto"/>
    </w:pPr>
    <w:rPr>
      <w:b/>
      <w:bCs/>
    </w:rPr>
  </w:style>
  <w:style w:type="character" w:customStyle="1" w:styleId="CommentSubjectChar">
    <w:name w:val="Comment Subject Char"/>
    <w:basedOn w:val="DefaultParagraphFont"/>
    <w:link w:val="CommentSubject"/>
    <w:uiPriority w:val="99"/>
    <w:semiHidden/>
    <w:rsid w:val="003B5FC5"/>
    <w:rPr>
      <w:rFonts w:ascii="Source Sans Pro" w:eastAsia="Times New Roman" w:hAnsi="Source Sans Pro" w:cs="Open Sans"/>
      <w:b/>
      <w:bCs/>
      <w:color w:val="333332"/>
      <w:kern w:val="0"/>
      <w:sz w:val="20"/>
      <w:szCs w:val="20"/>
    </w:rPr>
  </w:style>
  <w:style w:type="character" w:customStyle="1" w:styleId="ListParagraphChar">
    <w:name w:val="List Paragraph Char"/>
    <w:basedOn w:val="DefaultParagraphFont"/>
    <w:link w:val="ListParagraph"/>
    <w:uiPriority w:val="34"/>
    <w:qFormat/>
    <w:locked/>
    <w:rsid w:val="005C4AF4"/>
    <w:rPr>
      <w:color w:val="auto"/>
      <w:sz w:val="24"/>
      <w:szCs w:val="36"/>
      <w:lang w:val="en-GB"/>
    </w:rPr>
  </w:style>
  <w:style w:type="paragraph" w:customStyle="1" w:styleId="tableboxbody">
    <w:name w:val="*table/box body"/>
    <w:basedOn w:val="Normal"/>
    <w:uiPriority w:val="9"/>
    <w:semiHidden/>
    <w:qFormat/>
    <w:rsid w:val="000E62FE"/>
    <w:pPr>
      <w:spacing w:before="120" w:after="120" w:line="300" w:lineRule="auto"/>
    </w:pPr>
  </w:style>
  <w:style w:type="character" w:customStyle="1" w:styleId="Heading4Char">
    <w:name w:val="Heading 4 Char"/>
    <w:basedOn w:val="DefaultParagraphFont"/>
    <w:link w:val="Heading4"/>
    <w:uiPriority w:val="9"/>
    <w:rsid w:val="00096ADF"/>
    <w:rPr>
      <w:b/>
      <w:bCs/>
      <w:color w:val="auto"/>
      <w:sz w:val="26"/>
      <w:szCs w:val="26"/>
    </w:rPr>
  </w:style>
  <w:style w:type="table" w:customStyle="1" w:styleId="TableGrid1">
    <w:name w:val="Table Grid1"/>
    <w:basedOn w:val="TableNormal"/>
    <w:next w:val="TableGrid"/>
    <w:uiPriority w:val="39"/>
    <w:rsid w:val="003E1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772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Body">
    <w:name w:val="Report Body"/>
    <w:basedOn w:val="Normal"/>
    <w:link w:val="ReportBodyChar"/>
    <w:semiHidden/>
    <w:qFormat/>
    <w:rsid w:val="00814B49"/>
    <w:pPr>
      <w:spacing w:before="240" w:after="0" w:line="260" w:lineRule="exact"/>
      <w:jc w:val="both"/>
    </w:pPr>
    <w:rPr>
      <w:rFonts w:ascii="Arial Mäori" w:hAnsi="Arial Mäori" w:cs="Times New Roman"/>
      <w:kern w:val="22"/>
      <w:sz w:val="22"/>
      <w:szCs w:val="22"/>
    </w:rPr>
  </w:style>
  <w:style w:type="character" w:customStyle="1" w:styleId="ReportBodyChar">
    <w:name w:val="Report Body Char"/>
    <w:basedOn w:val="DefaultParagraphFont"/>
    <w:link w:val="ReportBody"/>
    <w:semiHidden/>
    <w:locked/>
    <w:rsid w:val="00905F4C"/>
    <w:rPr>
      <w:rFonts w:ascii="Arial Mäori" w:hAnsi="Arial Mäori" w:cs="Times New Roman"/>
      <w:color w:val="auto"/>
      <w:kern w:val="22"/>
      <w:sz w:val="22"/>
      <w:szCs w:val="22"/>
    </w:rPr>
  </w:style>
  <w:style w:type="table" w:customStyle="1" w:styleId="TableGrid2">
    <w:name w:val="Table Grid2"/>
    <w:basedOn w:val="TableNormal"/>
    <w:next w:val="TableGrid"/>
    <w:uiPriority w:val="39"/>
    <w:rsid w:val="0057217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2"/>
    <w:next w:val="Normal"/>
    <w:uiPriority w:val="39"/>
    <w:unhideWhenUsed/>
    <w:rsid w:val="00950815"/>
  </w:style>
  <w:style w:type="paragraph" w:styleId="TOC1">
    <w:name w:val="toc 1"/>
    <w:basedOn w:val="h3"/>
    <w:next w:val="Normal"/>
    <w:autoRedefine/>
    <w:uiPriority w:val="39"/>
    <w:unhideWhenUsed/>
    <w:rsid w:val="00674C37"/>
    <w:pPr>
      <w:keepLines w:val="0"/>
      <w:tabs>
        <w:tab w:val="right" w:pos="10206"/>
      </w:tabs>
      <w:spacing w:before="240"/>
    </w:pPr>
  </w:style>
  <w:style w:type="paragraph" w:styleId="TOC2">
    <w:name w:val="toc 2"/>
    <w:basedOn w:val="body"/>
    <w:next w:val="Normal"/>
    <w:autoRedefine/>
    <w:uiPriority w:val="39"/>
    <w:unhideWhenUsed/>
    <w:rsid w:val="00A8424E"/>
    <w:pPr>
      <w:tabs>
        <w:tab w:val="right" w:pos="10206"/>
      </w:tabs>
      <w:spacing w:before="120" w:after="120"/>
    </w:pPr>
  </w:style>
  <w:style w:type="paragraph" w:styleId="TOC3">
    <w:name w:val="toc 3"/>
    <w:basedOn w:val="TOC2"/>
    <w:next w:val="Normal"/>
    <w:autoRedefine/>
    <w:uiPriority w:val="39"/>
    <w:unhideWhenUsed/>
    <w:rsid w:val="00A8424E"/>
    <w:pPr>
      <w:ind w:left="369"/>
    </w:pPr>
  </w:style>
  <w:style w:type="character" w:customStyle="1" w:styleId="Heading5Char">
    <w:name w:val="Heading 5 Char"/>
    <w:basedOn w:val="DefaultParagraphFont"/>
    <w:link w:val="Heading5"/>
    <w:uiPriority w:val="9"/>
    <w:rsid w:val="00096ADF"/>
    <w:rPr>
      <w:color w:val="474E67"/>
      <w:sz w:val="26"/>
      <w:szCs w:val="26"/>
    </w:rPr>
  </w:style>
  <w:style w:type="character" w:styleId="FollowedHyperlink">
    <w:name w:val="FollowedHyperlink"/>
    <w:basedOn w:val="DefaultParagraphFont"/>
    <w:uiPriority w:val="99"/>
    <w:semiHidden/>
    <w:unhideWhenUsed/>
    <w:rsid w:val="00311BBF"/>
    <w:rPr>
      <w:color w:val="B22B4F" w:themeColor="followedHyperlink"/>
      <w:u w:val="single"/>
    </w:rPr>
  </w:style>
  <w:style w:type="character" w:styleId="Mention">
    <w:name w:val="Mention"/>
    <w:basedOn w:val="DefaultParagraphFont"/>
    <w:uiPriority w:val="99"/>
    <w:semiHidden/>
    <w:rsid w:val="00827070"/>
    <w:rPr>
      <w:color w:val="2B579A"/>
      <w:shd w:val="clear" w:color="auto" w:fill="E1DFDD"/>
    </w:rPr>
  </w:style>
  <w:style w:type="character" w:styleId="EndnoteReference">
    <w:name w:val="endnote reference"/>
    <w:basedOn w:val="DefaultParagraphFont"/>
    <w:uiPriority w:val="99"/>
    <w:semiHidden/>
    <w:unhideWhenUsed/>
    <w:rsid w:val="00937BF9"/>
    <w:rPr>
      <w:vertAlign w:val="superscript"/>
    </w:rPr>
  </w:style>
  <w:style w:type="character" w:customStyle="1" w:styleId="normaltextrun">
    <w:name w:val="normaltextrun"/>
    <w:basedOn w:val="DefaultParagraphFont"/>
    <w:uiPriority w:val="9"/>
    <w:semiHidden/>
    <w:rsid w:val="00B07164"/>
  </w:style>
  <w:style w:type="paragraph" w:customStyle="1" w:styleId="Classification">
    <w:name w:val="Classification"/>
    <w:link w:val="ClassificationChar"/>
    <w:uiPriority w:val="8"/>
    <w:semiHidden/>
    <w:qFormat/>
    <w:rsid w:val="00955129"/>
    <w:pPr>
      <w:tabs>
        <w:tab w:val="center" w:pos="5683"/>
      </w:tabs>
      <w:spacing w:before="240" w:after="340" w:line="228" w:lineRule="auto"/>
      <w:jc w:val="center"/>
    </w:pPr>
    <w:rPr>
      <w:rFonts w:cs="Arial"/>
      <w:b/>
      <w:caps/>
      <w:sz w:val="24"/>
    </w:rPr>
  </w:style>
  <w:style w:type="character" w:customStyle="1" w:styleId="ClassificationChar">
    <w:name w:val="Classification Char"/>
    <w:basedOn w:val="DefaultParagraphFont"/>
    <w:link w:val="Classification"/>
    <w:uiPriority w:val="8"/>
    <w:semiHidden/>
    <w:rsid w:val="00905F4C"/>
    <w:rPr>
      <w:rFonts w:cs="Arial"/>
      <w:b/>
      <w:caps/>
      <w:sz w:val="24"/>
    </w:rPr>
  </w:style>
  <w:style w:type="paragraph" w:customStyle="1" w:styleId="3Body-nonum">
    <w:name w:val="3. Body - no num"/>
    <w:basedOn w:val="Normal"/>
    <w:uiPriority w:val="2"/>
    <w:semiHidden/>
    <w:rsid w:val="00C259EC"/>
    <w:pPr>
      <w:keepLines/>
      <w:spacing w:line="264" w:lineRule="auto"/>
    </w:pPr>
    <w:rPr>
      <w:bCs/>
      <w:szCs w:val="16"/>
    </w:rPr>
  </w:style>
  <w:style w:type="paragraph" w:customStyle="1" w:styleId="bodybullet">
    <w:name w:val="*body bullet"/>
    <w:basedOn w:val="3Body-nonum"/>
    <w:uiPriority w:val="4"/>
    <w:semiHidden/>
    <w:rsid w:val="00646B65"/>
    <w:pPr>
      <w:numPr>
        <w:numId w:val="3"/>
      </w:numPr>
      <w:spacing w:after="120"/>
      <w:ind w:left="766" w:hanging="284"/>
    </w:pPr>
    <w:rPr>
      <w:lang w:eastAsia="ko-KR"/>
    </w:rPr>
  </w:style>
  <w:style w:type="paragraph" w:customStyle="1" w:styleId="Figuretableheading">
    <w:name w:val="Figure/table heading"/>
    <w:basedOn w:val="Normal"/>
    <w:semiHidden/>
    <w:qFormat/>
    <w:rsid w:val="003B5FC5"/>
    <w:pPr>
      <w:keepNext/>
      <w:spacing w:before="360" w:after="120" w:line="240" w:lineRule="auto"/>
      <w:outlineLvl w:val="3"/>
    </w:pPr>
    <w:rPr>
      <w:b/>
      <w:i/>
      <w:color w:val="1F5B99"/>
      <w:sz w:val="22"/>
      <w:szCs w:val="20"/>
      <w:lang w:val="en-GB"/>
    </w:rPr>
  </w:style>
  <w:style w:type="paragraph" w:customStyle="1" w:styleId="Sectionheading">
    <w:name w:val="Section heading"/>
    <w:basedOn w:val="Normal"/>
    <w:semiHidden/>
    <w:rsid w:val="00631E91"/>
    <w:pPr>
      <w:keepNext/>
      <w:keepLines/>
      <w:spacing w:after="600" w:line="264" w:lineRule="auto"/>
      <w:ind w:right="2835"/>
      <w:outlineLvl w:val="0"/>
    </w:pPr>
    <w:rPr>
      <w:rFonts w:cs="Arial"/>
      <w:color w:val="FFFFFF" w:themeColor="background1"/>
      <w:sz w:val="50"/>
      <w:szCs w:val="50"/>
      <w:lang w:val="en-AU"/>
    </w:rPr>
  </w:style>
  <w:style w:type="paragraph" w:styleId="NormalWeb">
    <w:name w:val="Normal (Web)"/>
    <w:basedOn w:val="Normal"/>
    <w:uiPriority w:val="99"/>
    <w:semiHidden/>
    <w:rsid w:val="007C38F4"/>
    <w:pPr>
      <w:spacing w:before="100" w:beforeAutospacing="1" w:after="100" w:afterAutospacing="1" w:line="240" w:lineRule="auto"/>
    </w:pPr>
    <w:rPr>
      <w:rFonts w:ascii="Times New Roman" w:hAnsi="Times New Roman" w:cs="Times New Roman"/>
      <w:szCs w:val="24"/>
      <w:lang w:eastAsia="en-NZ"/>
    </w:rPr>
  </w:style>
  <w:style w:type="character" w:customStyle="1" w:styleId="ui-provider">
    <w:name w:val="ui-provider"/>
    <w:basedOn w:val="DefaultParagraphFont"/>
    <w:semiHidden/>
    <w:rsid w:val="00F33908"/>
  </w:style>
  <w:style w:type="paragraph" w:customStyle="1" w:styleId="tableheading">
    <w:name w:val="*table heading"/>
    <w:basedOn w:val="tablebodyheading"/>
    <w:next w:val="tablebodyheading"/>
    <w:uiPriority w:val="9"/>
    <w:semiHidden/>
    <w:qFormat/>
    <w:rsid w:val="009E1F02"/>
    <w:pPr>
      <w:spacing w:before="60" w:after="60" w:line="240" w:lineRule="auto"/>
    </w:pPr>
    <w:rPr>
      <w:rFonts w:cs="Arial"/>
      <w:bCs/>
      <w:color w:val="FFFFFF" w:themeColor="background1"/>
    </w:rPr>
  </w:style>
  <w:style w:type="paragraph" w:customStyle="1" w:styleId="TableHeading2Nospace">
    <w:name w:val="Table Heading 2 No space"/>
    <w:basedOn w:val="Normal"/>
    <w:qFormat/>
    <w:rsid w:val="00884062"/>
    <w:pPr>
      <w:keepNext/>
      <w:keepLines/>
      <w:spacing w:after="0"/>
    </w:pPr>
    <w:rPr>
      <w:b/>
      <w:bCs/>
    </w:rPr>
  </w:style>
  <w:style w:type="paragraph" w:styleId="NoSpacing">
    <w:name w:val="No Spacing"/>
    <w:uiPriority w:val="1"/>
    <w:semiHidden/>
    <w:rsid w:val="00543DFB"/>
    <w:pPr>
      <w:spacing w:after="0" w:line="240" w:lineRule="auto"/>
    </w:pPr>
    <w:rPr>
      <w:rFonts w:ascii="Source Sans Pro" w:eastAsia="Times New Roman" w:hAnsi="Source Sans Pro"/>
      <w:color w:val="333332"/>
      <w:sz w:val="20"/>
      <w:szCs w:val="20"/>
    </w:rPr>
  </w:style>
  <w:style w:type="paragraph" w:customStyle="1" w:styleId="pulloutheading">
    <w:name w:val="*pullout heading"/>
    <w:basedOn w:val="h4"/>
    <w:uiPriority w:val="9"/>
    <w:qFormat/>
    <w:rsid w:val="00B14481"/>
    <w:pPr>
      <w:keepLines/>
      <w:spacing w:before="120"/>
      <w:outlineLvl w:val="4"/>
    </w:pPr>
    <w:rPr>
      <w:sz w:val="24"/>
      <w:szCs w:val="24"/>
    </w:rPr>
  </w:style>
  <w:style w:type="paragraph" w:customStyle="1" w:styleId="coverh1">
    <w:name w:val="*cover h1"/>
    <w:basedOn w:val="body"/>
    <w:next w:val="body"/>
    <w:semiHidden/>
    <w:rsid w:val="000D1B0B"/>
    <w:pPr>
      <w:spacing w:before="2000" w:after="840" w:line="240" w:lineRule="auto"/>
      <w:outlineLvl w:val="0"/>
    </w:pPr>
    <w:rPr>
      <w:b/>
      <w:color w:val="000000" w:themeColor="text1"/>
      <w:sz w:val="96"/>
    </w:rPr>
  </w:style>
  <w:style w:type="paragraph" w:customStyle="1" w:styleId="body">
    <w:name w:val="*body"/>
    <w:qFormat/>
    <w:rsid w:val="000D1B0B"/>
    <w:pPr>
      <w:spacing w:after="240" w:line="276" w:lineRule="auto"/>
    </w:pPr>
    <w:rPr>
      <w:lang w:val="en-GB"/>
    </w:rPr>
  </w:style>
  <w:style w:type="paragraph" w:customStyle="1" w:styleId="coversubtitle">
    <w:name w:val="*cover subtitle"/>
    <w:basedOn w:val="body"/>
    <w:next w:val="body"/>
    <w:semiHidden/>
    <w:rsid w:val="000D1B0B"/>
    <w:pPr>
      <w:spacing w:before="120" w:after="600" w:line="240" w:lineRule="auto"/>
    </w:pPr>
    <w:rPr>
      <w:rFonts w:cs="Arial"/>
      <w:b/>
      <w:color w:val="000000" w:themeColor="text1"/>
      <w:sz w:val="32"/>
      <w:szCs w:val="32"/>
    </w:rPr>
  </w:style>
  <w:style w:type="paragraph" w:customStyle="1" w:styleId="h2">
    <w:name w:val="*h2"/>
    <w:basedOn w:val="Normal"/>
    <w:uiPriority w:val="3"/>
    <w:qFormat/>
    <w:rsid w:val="00510DDE"/>
    <w:pPr>
      <w:spacing w:before="360"/>
      <w:outlineLvl w:val="1"/>
    </w:pPr>
    <w:rPr>
      <w:rFonts w:eastAsia="Arial"/>
      <w:b/>
      <w:color w:val="474E67"/>
      <w:sz w:val="36"/>
      <w:lang w:val="en-GB"/>
    </w:rPr>
  </w:style>
  <w:style w:type="paragraph" w:customStyle="1" w:styleId="bodyintro">
    <w:name w:val="*body intro"/>
    <w:basedOn w:val="body"/>
    <w:next w:val="body"/>
    <w:semiHidden/>
    <w:rsid w:val="00950815"/>
    <w:pPr>
      <w:spacing w:after="800"/>
    </w:pPr>
    <w:rPr>
      <w:b/>
      <w:color w:val="505669" w:themeColor="text2"/>
      <w:sz w:val="24"/>
    </w:rPr>
  </w:style>
  <w:style w:type="paragraph" w:customStyle="1" w:styleId="h3">
    <w:name w:val="*h3"/>
    <w:basedOn w:val="body"/>
    <w:next w:val="body"/>
    <w:uiPriority w:val="3"/>
    <w:qFormat/>
    <w:rsid w:val="001733EC"/>
    <w:pPr>
      <w:keepNext/>
      <w:keepLines/>
      <w:pBdr>
        <w:bottom w:val="single" w:sz="4" w:space="1" w:color="D9D9D9" w:themeColor="background1" w:themeShade="D9"/>
      </w:pBdr>
      <w:spacing w:before="480" w:line="264" w:lineRule="auto"/>
      <w:outlineLvl w:val="2"/>
    </w:pPr>
    <w:rPr>
      <w:b/>
      <w:color w:val="505669" w:themeColor="text2"/>
      <w:sz w:val="24"/>
      <w:szCs w:val="14"/>
    </w:rPr>
  </w:style>
  <w:style w:type="paragraph" w:customStyle="1" w:styleId="h4">
    <w:name w:val="*h4"/>
    <w:basedOn w:val="body"/>
    <w:next w:val="body"/>
    <w:uiPriority w:val="9"/>
    <w:semiHidden/>
    <w:rsid w:val="00FB3F6E"/>
    <w:pPr>
      <w:keepNext/>
      <w:spacing w:before="480"/>
      <w:outlineLvl w:val="3"/>
    </w:pPr>
    <w:rPr>
      <w:b/>
      <w:color w:val="505669" w:themeColor="text2"/>
      <w:sz w:val="20"/>
      <w:szCs w:val="22"/>
    </w:rPr>
  </w:style>
  <w:style w:type="paragraph" w:customStyle="1" w:styleId="bodynumbered">
    <w:name w:val="*body numbered"/>
    <w:basedOn w:val="ListParagraph"/>
    <w:uiPriority w:val="9"/>
    <w:semiHidden/>
    <w:qFormat/>
    <w:rsid w:val="00A8424E"/>
    <w:pPr>
      <w:keepLines/>
      <w:numPr>
        <w:numId w:val="2"/>
      </w:numPr>
    </w:pPr>
  </w:style>
  <w:style w:type="paragraph" w:customStyle="1" w:styleId="sectiontitle">
    <w:name w:val="*section title"/>
    <w:basedOn w:val="Normal"/>
    <w:uiPriority w:val="99"/>
    <w:semiHidden/>
    <w:rsid w:val="00E12732"/>
    <w:pPr>
      <w:spacing w:before="2000" w:after="560" w:line="660" w:lineRule="exact"/>
      <w:ind w:right="1134"/>
      <w:outlineLvl w:val="0"/>
    </w:pPr>
    <w:rPr>
      <w:rFonts w:cs="Open Sans SemiBold"/>
      <w:b/>
      <w:color w:val="FFFFFF" w:themeColor="background1"/>
      <w:sz w:val="60"/>
      <w:szCs w:val="60"/>
    </w:rPr>
  </w:style>
  <w:style w:type="paragraph" w:customStyle="1" w:styleId="sectionintro">
    <w:name w:val="*section intro"/>
    <w:basedOn w:val="bodyintro"/>
    <w:semiHidden/>
    <w:qFormat/>
    <w:rsid w:val="004925F5"/>
    <w:pPr>
      <w:spacing w:after="240"/>
      <w:ind w:right="1021"/>
    </w:pPr>
    <w:rPr>
      <w:b w:val="0"/>
      <w:bCs/>
      <w:color w:val="FFFFFF" w:themeColor="background1"/>
    </w:rPr>
  </w:style>
  <w:style w:type="paragraph" w:customStyle="1" w:styleId="bodybulletintro">
    <w:name w:val="*body bullet intro"/>
    <w:basedOn w:val="Normal"/>
    <w:semiHidden/>
    <w:qFormat/>
    <w:rsid w:val="00E12732"/>
    <w:pPr>
      <w:spacing w:after="60"/>
    </w:pPr>
    <w:rPr>
      <w:shd w:val="clear" w:color="auto" w:fill="EEF3FB"/>
    </w:rPr>
  </w:style>
  <w:style w:type="paragraph" w:customStyle="1" w:styleId="bodynumberedintro">
    <w:name w:val="*body numbered intro"/>
    <w:basedOn w:val="bodynumbered"/>
    <w:qFormat/>
    <w:rsid w:val="00A17C22"/>
    <w:pPr>
      <w:keepNext/>
      <w:spacing w:after="60"/>
    </w:pPr>
  </w:style>
  <w:style w:type="paragraph" w:customStyle="1" w:styleId="bodybulletlast">
    <w:name w:val="*body bullet last"/>
    <w:basedOn w:val="bodybullet"/>
    <w:semiHidden/>
    <w:qFormat/>
    <w:rsid w:val="00543730"/>
    <w:pPr>
      <w:spacing w:after="240"/>
      <w:contextualSpacing/>
    </w:pPr>
  </w:style>
  <w:style w:type="paragraph" w:customStyle="1" w:styleId="bodynumberedsubbullet">
    <w:name w:val="*body numbered sub bullet"/>
    <w:basedOn w:val="bodybullet"/>
    <w:qFormat/>
    <w:rsid w:val="00A17C22"/>
    <w:pPr>
      <w:keepLines w:val="0"/>
      <w:numPr>
        <w:numId w:val="4"/>
      </w:numPr>
      <w:spacing w:after="20" w:line="276" w:lineRule="auto"/>
    </w:pPr>
  </w:style>
  <w:style w:type="paragraph" w:customStyle="1" w:styleId="bodynumberedsubbulletlast">
    <w:name w:val="*body numbered sub bullet (last)"/>
    <w:basedOn w:val="bodynumberedsubbullet"/>
    <w:qFormat/>
    <w:rsid w:val="00A17C22"/>
    <w:pPr>
      <w:spacing w:after="240"/>
    </w:pPr>
  </w:style>
  <w:style w:type="paragraph" w:customStyle="1" w:styleId="bodybulletbox">
    <w:name w:val="*body bullet box"/>
    <w:basedOn w:val="bodybullet"/>
    <w:semiHidden/>
    <w:qFormat/>
    <w:rsid w:val="000F2E1E"/>
    <w:pPr>
      <w:spacing w:after="60"/>
      <w:ind w:left="482"/>
    </w:pPr>
    <w:rPr>
      <w:shd w:val="clear" w:color="auto" w:fill="EEF3FB"/>
    </w:rPr>
  </w:style>
  <w:style w:type="paragraph" w:styleId="EndnoteText">
    <w:name w:val="endnote text"/>
    <w:basedOn w:val="Normal"/>
    <w:link w:val="EndnoteTextChar"/>
    <w:uiPriority w:val="99"/>
    <w:semiHidden/>
    <w:unhideWhenUsed/>
    <w:rsid w:val="00DD6472"/>
    <w:pPr>
      <w:spacing w:after="0" w:line="240" w:lineRule="auto"/>
    </w:pPr>
    <w:rPr>
      <w:rFonts w:ascii="Source Sans Pro" w:eastAsia="Times New Roman" w:hAnsi="Source Sans Pro"/>
      <w:color w:val="333332"/>
      <w:sz w:val="20"/>
      <w:szCs w:val="20"/>
    </w:rPr>
  </w:style>
  <w:style w:type="character" w:customStyle="1" w:styleId="EndnoteTextChar">
    <w:name w:val="Endnote Text Char"/>
    <w:basedOn w:val="DefaultParagraphFont"/>
    <w:link w:val="EndnoteText"/>
    <w:uiPriority w:val="99"/>
    <w:semiHidden/>
    <w:rsid w:val="00DD6472"/>
    <w:rPr>
      <w:rFonts w:ascii="Source Sans Pro" w:eastAsia="Times New Roman" w:hAnsi="Source Sans Pro"/>
      <w:color w:val="333332"/>
      <w:sz w:val="20"/>
      <w:szCs w:val="20"/>
    </w:rPr>
  </w:style>
  <w:style w:type="paragraph" w:customStyle="1" w:styleId="4Bullet">
    <w:name w:val="4. Bullet"/>
    <w:basedOn w:val="3Body-nonum"/>
    <w:uiPriority w:val="4"/>
    <w:semiHidden/>
    <w:qFormat/>
    <w:rsid w:val="002A4982"/>
    <w:pPr>
      <w:spacing w:after="60"/>
      <w:ind w:left="360" w:hanging="360"/>
    </w:pPr>
    <w:rPr>
      <w:rFonts w:eastAsia="Times New Roman"/>
    </w:rPr>
  </w:style>
  <w:style w:type="paragraph" w:customStyle="1" w:styleId="TableHeading1">
    <w:name w:val="Table Heading 1"/>
    <w:basedOn w:val="Normal"/>
    <w:qFormat/>
    <w:rsid w:val="003830B8"/>
    <w:pPr>
      <w:keepNext/>
      <w:keepLines/>
      <w:spacing w:before="240" w:after="120"/>
    </w:pPr>
    <w:rPr>
      <w:b/>
      <w:bCs/>
    </w:rPr>
  </w:style>
  <w:style w:type="paragraph" w:customStyle="1" w:styleId="Tabletext">
    <w:name w:val="Table text"/>
    <w:basedOn w:val="Normal"/>
    <w:rsid w:val="002A4982"/>
    <w:pPr>
      <w:spacing w:before="60" w:after="60" w:line="220" w:lineRule="atLeast"/>
    </w:pPr>
    <w:rPr>
      <w:rFonts w:ascii="Source Sans Pro" w:eastAsia="Times New Roman" w:hAnsi="Source Sans Pro"/>
      <w:color w:val="333332"/>
    </w:rPr>
  </w:style>
  <w:style w:type="paragraph" w:customStyle="1" w:styleId="Footendnotes">
    <w:name w:val="*Foot/endnotes"/>
    <w:basedOn w:val="Normal"/>
    <w:qFormat/>
    <w:rsid w:val="00336234"/>
    <w:pPr>
      <w:tabs>
        <w:tab w:val="left" w:pos="284"/>
      </w:tabs>
      <w:spacing w:after="80"/>
      <w:ind w:left="284" w:hanging="284"/>
    </w:pPr>
    <w:rPr>
      <w:sz w:val="16"/>
      <w:szCs w:val="16"/>
    </w:rPr>
  </w:style>
  <w:style w:type="table" w:customStyle="1" w:styleId="DPMCpullout">
    <w:name w:val="DPMC pullout"/>
    <w:basedOn w:val="TableNormal"/>
    <w:uiPriority w:val="99"/>
    <w:rsid w:val="00D07EE4"/>
    <w:pPr>
      <w:spacing w:after="240" w:line="240" w:lineRule="auto"/>
    </w:pPr>
    <w:rPr>
      <w:color w:val="auto"/>
    </w:rPr>
    <w:tblPr>
      <w:tblCellMar>
        <w:top w:w="113" w:type="dxa"/>
        <w:left w:w="170" w:type="dxa"/>
        <w:bottom w:w="113" w:type="dxa"/>
        <w:right w:w="170" w:type="dxa"/>
      </w:tblCellMar>
    </w:tblPr>
    <w:trPr>
      <w:cantSplit/>
    </w:trPr>
    <w:tcPr>
      <w:shd w:val="clear" w:color="auto" w:fill="E2E2EA"/>
    </w:tcPr>
  </w:style>
  <w:style w:type="table" w:customStyle="1" w:styleId="DPMCintro">
    <w:name w:val="DPMC intro"/>
    <w:basedOn w:val="TableNormal"/>
    <w:uiPriority w:val="99"/>
    <w:rsid w:val="00D07EE4"/>
    <w:pPr>
      <w:spacing w:after="0" w:line="240" w:lineRule="auto"/>
    </w:pPr>
    <w:tblPr>
      <w:tblBorders>
        <w:top w:val="single" w:sz="4" w:space="0" w:color="505669" w:themeColor="text2"/>
        <w:left w:val="single" w:sz="4" w:space="0" w:color="505669" w:themeColor="text2"/>
        <w:bottom w:val="single" w:sz="4" w:space="0" w:color="505669" w:themeColor="text2"/>
        <w:right w:val="single" w:sz="4" w:space="0" w:color="505669" w:themeColor="text2"/>
      </w:tblBorders>
      <w:tblCellMar>
        <w:top w:w="113" w:type="dxa"/>
        <w:left w:w="170" w:type="dxa"/>
        <w:bottom w:w="113" w:type="dxa"/>
        <w:right w:w="170" w:type="dxa"/>
      </w:tblCellMar>
    </w:tblPr>
    <w:trPr>
      <w:cantSplit/>
    </w:trPr>
  </w:style>
  <w:style w:type="table" w:customStyle="1" w:styleId="DPMCtable">
    <w:name w:val="DPMC table"/>
    <w:basedOn w:val="TableNormal"/>
    <w:uiPriority w:val="99"/>
    <w:rsid w:val="00C72D44"/>
    <w:pPr>
      <w:spacing w:after="0" w:line="240" w:lineRule="auto"/>
    </w:pPr>
    <w:tblPr>
      <w:tblBorders>
        <w:top w:val="dotted" w:sz="4" w:space="0" w:color="505669" w:themeColor="text2"/>
        <w:left w:val="dotted" w:sz="4" w:space="0" w:color="505669" w:themeColor="text2"/>
        <w:bottom w:val="dotted" w:sz="4" w:space="0" w:color="505669" w:themeColor="text2"/>
        <w:right w:val="dotted" w:sz="4" w:space="0" w:color="505669" w:themeColor="text2"/>
        <w:insideH w:val="dotted" w:sz="4" w:space="0" w:color="505669" w:themeColor="text2"/>
        <w:insideV w:val="dotted" w:sz="4" w:space="0" w:color="505669" w:themeColor="text2"/>
      </w:tblBorders>
    </w:tblPr>
    <w:tblStylePr w:type="firstRow">
      <w:pPr>
        <w:wordWrap/>
        <w:spacing w:beforeLines="0" w:before="120" w:beforeAutospacing="0" w:afterLines="0" w:after="120" w:afterAutospacing="0"/>
        <w:contextualSpacing w:val="0"/>
        <w:jc w:val="left"/>
      </w:pPr>
      <w:rPr>
        <w:b/>
        <w:color w:val="FFFFFF" w:themeColor="background1"/>
      </w:rPr>
      <w:tblPr/>
      <w:tcPr>
        <w:tcBorders>
          <w:top w:val="nil"/>
          <w:left w:val="nil"/>
          <w:bottom w:val="nil"/>
          <w:right w:val="nil"/>
          <w:insideH w:val="nil"/>
          <w:insideV w:val="nil"/>
          <w:tl2br w:val="nil"/>
          <w:tr2bl w:val="nil"/>
        </w:tcBorders>
        <w:shd w:val="clear" w:color="auto" w:fill="505669" w:themeFill="text2"/>
        <w:tcMar>
          <w:top w:w="113" w:type="dxa"/>
          <w:left w:w="113" w:type="dxa"/>
          <w:bottom w:w="113" w:type="dxa"/>
          <w:right w:w="113" w:type="dxa"/>
        </w:tcMar>
      </w:tcPr>
    </w:tblStylePr>
    <w:tblStylePr w:type="firstCol">
      <w:rPr>
        <w:b w:val="0"/>
        <w:color w:val="505669" w:themeColor="text2"/>
      </w:r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pacing w:val="-1"/>
      <w:sz w:val="20"/>
      <w:szCs w:val="20"/>
    </w:rPr>
  </w:style>
  <w:style w:type="paragraph" w:customStyle="1" w:styleId="BoxBullet">
    <w:name w:val="Box Bullet"/>
    <w:basedOn w:val="BoxBody"/>
    <w:qFormat/>
    <w:rsid w:val="007B15EE"/>
    <w:pPr>
      <w:numPr>
        <w:numId w:val="12"/>
      </w:numPr>
      <w:ind w:left="454" w:hanging="284"/>
    </w:pPr>
  </w:style>
  <w:style w:type="paragraph" w:styleId="FootnoteText">
    <w:name w:val="footnote text"/>
    <w:basedOn w:val="Footendnotes"/>
    <w:link w:val="FootnoteTextChar"/>
    <w:uiPriority w:val="9"/>
    <w:unhideWhenUsed/>
    <w:qFormat/>
    <w:rsid w:val="00EC6449"/>
    <w:rPr>
      <w:rFonts w:cs="Arial"/>
      <w:sz w:val="20"/>
      <w:szCs w:val="18"/>
    </w:rPr>
  </w:style>
  <w:style w:type="character" w:customStyle="1" w:styleId="FootnoteTextChar">
    <w:name w:val="Footnote Text Char"/>
    <w:basedOn w:val="DefaultParagraphFont"/>
    <w:link w:val="FootnoteText"/>
    <w:uiPriority w:val="9"/>
    <w:rsid w:val="00EC6449"/>
    <w:rPr>
      <w:rFonts w:cs="Arial"/>
      <w:color w:val="auto"/>
      <w:sz w:val="20"/>
    </w:rPr>
  </w:style>
  <w:style w:type="paragraph" w:styleId="TOC6">
    <w:name w:val="toc 6"/>
    <w:basedOn w:val="Normal"/>
    <w:next w:val="Normal"/>
    <w:autoRedefine/>
    <w:uiPriority w:val="39"/>
    <w:semiHidden/>
    <w:unhideWhenUsed/>
    <w:rsid w:val="00767EFD"/>
    <w:pPr>
      <w:spacing w:after="100"/>
      <w:ind w:left="900"/>
    </w:pPr>
  </w:style>
  <w:style w:type="paragraph" w:customStyle="1" w:styleId="pf0">
    <w:name w:val="pf0"/>
    <w:basedOn w:val="Normal"/>
    <w:semiHidden/>
    <w:rsid w:val="0012482E"/>
    <w:pPr>
      <w:spacing w:before="100" w:beforeAutospacing="1" w:after="100" w:afterAutospacing="1" w:line="240" w:lineRule="auto"/>
    </w:pPr>
    <w:rPr>
      <w:rFonts w:ascii="Times New Roman" w:eastAsia="Times New Roman" w:hAnsi="Times New Roman" w:cs="Times New Roman"/>
      <w:szCs w:val="24"/>
      <w:lang w:eastAsia="en-NZ"/>
      <w14:ligatures w14:val="none"/>
    </w:rPr>
  </w:style>
  <w:style w:type="character" w:customStyle="1" w:styleId="cf01">
    <w:name w:val="cf01"/>
    <w:basedOn w:val="DefaultParagraphFont"/>
    <w:semiHidden/>
    <w:rsid w:val="0012482E"/>
    <w:rPr>
      <w:rFonts w:ascii="Segoe UI" w:hAnsi="Segoe UI" w:cs="Segoe UI" w:hint="default"/>
      <w:color w:val="333332"/>
      <w:sz w:val="18"/>
      <w:szCs w:val="18"/>
    </w:rPr>
  </w:style>
  <w:style w:type="character" w:customStyle="1" w:styleId="cf21">
    <w:name w:val="cf21"/>
    <w:basedOn w:val="DefaultParagraphFont"/>
    <w:semiHidden/>
    <w:rsid w:val="0012482E"/>
    <w:rPr>
      <w:rFonts w:ascii="Segoe UI" w:hAnsi="Segoe UI" w:cs="Segoe UI" w:hint="default"/>
      <w:i/>
      <w:iCs/>
      <w:sz w:val="18"/>
      <w:szCs w:val="18"/>
    </w:rPr>
  </w:style>
  <w:style w:type="paragraph" w:styleId="Caption">
    <w:name w:val="caption"/>
    <w:basedOn w:val="Normal"/>
    <w:next w:val="Normal"/>
    <w:uiPriority w:val="35"/>
    <w:unhideWhenUsed/>
    <w:rsid w:val="004A29E5"/>
    <w:pPr>
      <w:spacing w:after="200" w:line="240" w:lineRule="auto"/>
    </w:pPr>
    <w:rPr>
      <w:i/>
      <w:iCs/>
      <w:color w:val="505669" w:themeColor="text2"/>
    </w:rPr>
  </w:style>
  <w:style w:type="paragraph" w:customStyle="1" w:styleId="listintro">
    <w:name w:val="*list intro"/>
    <w:basedOn w:val="body"/>
    <w:uiPriority w:val="1"/>
    <w:qFormat/>
    <w:rsid w:val="00460958"/>
    <w:pPr>
      <w:keepNext/>
      <w:spacing w:after="60"/>
    </w:pPr>
  </w:style>
  <w:style w:type="paragraph" w:customStyle="1" w:styleId="list">
    <w:name w:val="*list"/>
    <w:basedOn w:val="listintro"/>
    <w:uiPriority w:val="1"/>
    <w:qFormat/>
    <w:rsid w:val="00460958"/>
    <w:pPr>
      <w:keepNext w:val="0"/>
      <w:numPr>
        <w:numId w:val="5"/>
      </w:numPr>
      <w:ind w:left="227" w:hanging="227"/>
    </w:pPr>
  </w:style>
  <w:style w:type="paragraph" w:customStyle="1" w:styleId="listlast">
    <w:name w:val="*list last"/>
    <w:basedOn w:val="list"/>
    <w:uiPriority w:val="1"/>
    <w:qFormat/>
    <w:rsid w:val="00460958"/>
    <w:pPr>
      <w:spacing w:after="240"/>
    </w:pPr>
  </w:style>
  <w:style w:type="table" w:customStyle="1" w:styleId="TableGrid3">
    <w:name w:val="Table Grid3"/>
    <w:basedOn w:val="TableNormal"/>
    <w:next w:val="TableGrid"/>
    <w:uiPriority w:val="39"/>
    <w:rsid w:val="00460958"/>
    <w:pPr>
      <w:spacing w:after="0" w:line="240" w:lineRule="auto"/>
    </w:pPr>
    <w:rPr>
      <w:color w:val="474E67"/>
      <w:sz w:val="36"/>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
    <w:name w:val="_white"/>
    <w:uiPriority w:val="1"/>
    <w:semiHidden/>
    <w:rsid w:val="00D06F0D"/>
    <w:rPr>
      <w:color w:val="FFFFFF" w:themeColor="background1"/>
    </w:rPr>
  </w:style>
  <w:style w:type="table" w:customStyle="1" w:styleId="DPMCcallout">
    <w:name w:val="DPMC callout"/>
    <w:basedOn w:val="TableNormal"/>
    <w:uiPriority w:val="99"/>
    <w:rsid w:val="00D06F0D"/>
    <w:pPr>
      <w:spacing w:after="0" w:line="240" w:lineRule="auto"/>
    </w:pPr>
    <w:rPr>
      <w:color w:val="000000" w:themeColor="text1"/>
      <w:sz w:val="36"/>
      <w:szCs w:val="36"/>
    </w:rPr>
    <w:tblPr>
      <w:tblBorders>
        <w:insideH w:val="single" w:sz="24" w:space="0" w:color="FFFFFF" w:themeColor="background1"/>
      </w:tblBorders>
    </w:tblPr>
    <w:tcPr>
      <w:shd w:val="clear" w:color="auto" w:fill="E6E7E8"/>
    </w:tcPr>
    <w:tblStylePr w:type="firstRow">
      <w:pPr>
        <w:wordWrap/>
        <w:spacing w:beforeLines="0" w:before="120" w:beforeAutospacing="0" w:afterLines="0" w:after="120" w:afterAutospacing="0"/>
        <w:contextualSpacing w:val="0"/>
      </w:pPr>
      <w:rPr>
        <w:rFonts w:ascii="Adobe Devanagari" w:hAnsi="Adobe Devanagari"/>
        <w:b/>
        <w:color w:val="FFFFFF" w:themeColor="background1"/>
        <w:sz w:val="18"/>
      </w:rPr>
      <w:tblPr/>
      <w:tcPr>
        <w:shd w:val="clear" w:color="auto" w:fill="000000" w:themeFill="text1"/>
        <w:vAlign w:val="center"/>
      </w:tcPr>
    </w:tblStylePr>
  </w:style>
  <w:style w:type="paragraph" w:customStyle="1" w:styleId="Introduction">
    <w:name w:val="Introduction"/>
    <w:basedOn w:val="bodyintro"/>
    <w:rsid w:val="003830B8"/>
    <w:pPr>
      <w:spacing w:after="600" w:line="288" w:lineRule="auto"/>
    </w:pPr>
    <w:rPr>
      <w:b w:val="0"/>
      <w:bCs/>
      <w:color w:val="auto"/>
      <w:sz w:val="32"/>
      <w:szCs w:val="32"/>
    </w:rPr>
  </w:style>
  <w:style w:type="paragraph" w:customStyle="1" w:styleId="Bullet2">
    <w:name w:val="Bullet 2"/>
    <w:basedOn w:val="ListParagraph"/>
    <w:rsid w:val="00714B62"/>
    <w:pPr>
      <w:numPr>
        <w:ilvl w:val="1"/>
        <w:numId w:val="6"/>
      </w:numPr>
      <w:ind w:left="567" w:hanging="284"/>
    </w:pPr>
  </w:style>
  <w:style w:type="paragraph" w:customStyle="1" w:styleId="ListParagraphindent">
    <w:name w:val="List Paragraph indent"/>
    <w:basedOn w:val="Normal"/>
    <w:rsid w:val="00096ADF"/>
    <w:pPr>
      <w:ind w:left="284"/>
    </w:pPr>
  </w:style>
  <w:style w:type="paragraph" w:styleId="Title">
    <w:name w:val="Title"/>
    <w:aliases w:val="_supp doc title (DPMC)"/>
    <w:basedOn w:val="coverh1"/>
    <w:next w:val="Normal"/>
    <w:link w:val="TitleChar"/>
    <w:uiPriority w:val="10"/>
    <w:qFormat/>
    <w:rsid w:val="003830B8"/>
    <w:pPr>
      <w:spacing w:before="840"/>
    </w:pPr>
    <w:rPr>
      <w:noProof/>
      <w:color w:val="auto"/>
      <w:sz w:val="84"/>
      <w:szCs w:val="84"/>
    </w:rPr>
  </w:style>
  <w:style w:type="character" w:customStyle="1" w:styleId="TitleChar">
    <w:name w:val="Title Char"/>
    <w:aliases w:val="_supp doc title (DPMC) Char"/>
    <w:basedOn w:val="DefaultParagraphFont"/>
    <w:link w:val="Title"/>
    <w:uiPriority w:val="10"/>
    <w:rsid w:val="003830B8"/>
    <w:rPr>
      <w:b/>
      <w:noProof/>
      <w:color w:val="auto"/>
      <w:sz w:val="84"/>
      <w:szCs w:val="84"/>
      <w:lang w:val="en-GB"/>
    </w:rPr>
  </w:style>
  <w:style w:type="paragraph" w:customStyle="1" w:styleId="ListParagraphBullet">
    <w:name w:val="List Paragraph Bullet"/>
    <w:basedOn w:val="Bullets0"/>
    <w:rsid w:val="00714B62"/>
    <w:pPr>
      <w:ind w:left="738"/>
    </w:pPr>
  </w:style>
  <w:style w:type="character" w:customStyle="1" w:styleId="Heading6Char">
    <w:name w:val="Heading 6 Char"/>
    <w:basedOn w:val="DefaultParagraphFont"/>
    <w:link w:val="Heading6"/>
    <w:uiPriority w:val="9"/>
    <w:rsid w:val="003830B8"/>
    <w:rPr>
      <w:rFonts w:cs="Arial"/>
      <w:b/>
      <w:bCs/>
      <w:noProof/>
      <w:color w:val="auto"/>
      <w:spacing w:val="-1"/>
      <w:sz w:val="26"/>
      <w:szCs w:val="26"/>
    </w:rPr>
  </w:style>
  <w:style w:type="paragraph" w:customStyle="1" w:styleId="Note">
    <w:name w:val="Note"/>
    <w:basedOn w:val="Normal"/>
    <w:rsid w:val="00661C13"/>
    <w:pPr>
      <w:spacing w:after="600"/>
      <w:ind w:left="227" w:hanging="227"/>
    </w:pPr>
    <w:rPr>
      <w:sz w:val="20"/>
      <w:szCs w:val="28"/>
    </w:rPr>
  </w:style>
  <w:style w:type="paragraph" w:customStyle="1" w:styleId="Bullet3ptafter">
    <w:name w:val="Bullet +3pt after"/>
    <w:basedOn w:val="Bullets0"/>
    <w:rsid w:val="00395527"/>
    <w:pPr>
      <w:spacing w:after="60"/>
    </w:pPr>
  </w:style>
  <w:style w:type="paragraph" w:customStyle="1" w:styleId="Normal3ptafter">
    <w:name w:val="Normal  +3 pt after"/>
    <w:basedOn w:val="Normal"/>
    <w:rsid w:val="00CE3B10"/>
    <w:pPr>
      <w:spacing w:after="60"/>
    </w:pPr>
    <w:rPr>
      <w:rFonts w:eastAsia="Times New Roman" w:cs="Times New Roman"/>
      <w:szCs w:val="20"/>
    </w:rPr>
  </w:style>
  <w:style w:type="paragraph" w:customStyle="1" w:styleId="Heading71">
    <w:name w:val="Heading 71"/>
    <w:basedOn w:val="Normal"/>
    <w:next w:val="Normal"/>
    <w:uiPriority w:val="9"/>
    <w:semiHidden/>
    <w:qFormat/>
    <w:rsid w:val="00705A1C"/>
    <w:pPr>
      <w:keepNext/>
      <w:keepLines/>
      <w:suppressAutoHyphens w:val="0"/>
      <w:autoSpaceDE/>
      <w:autoSpaceDN/>
      <w:adjustRightInd/>
      <w:spacing w:before="40" w:after="0" w:line="259" w:lineRule="auto"/>
      <w:textAlignment w:val="auto"/>
      <w:outlineLvl w:val="6"/>
    </w:pPr>
    <w:rPr>
      <w:rFonts w:ascii="Aptos" w:eastAsia="Times New Roman" w:hAnsi="Aptos" w:cs="Times New Roman"/>
      <w:color w:val="595959"/>
      <w:kern w:val="2"/>
      <w:sz w:val="22"/>
      <w:szCs w:val="22"/>
    </w:rPr>
  </w:style>
  <w:style w:type="paragraph" w:customStyle="1" w:styleId="Heading81">
    <w:name w:val="Heading 81"/>
    <w:basedOn w:val="Normal"/>
    <w:next w:val="Normal"/>
    <w:uiPriority w:val="9"/>
    <w:semiHidden/>
    <w:qFormat/>
    <w:rsid w:val="00705A1C"/>
    <w:pPr>
      <w:keepNext/>
      <w:keepLines/>
      <w:suppressAutoHyphens w:val="0"/>
      <w:autoSpaceDE/>
      <w:autoSpaceDN/>
      <w:adjustRightInd/>
      <w:spacing w:after="0" w:line="259" w:lineRule="auto"/>
      <w:textAlignment w:val="auto"/>
      <w:outlineLvl w:val="7"/>
    </w:pPr>
    <w:rPr>
      <w:rFonts w:ascii="Aptos" w:eastAsia="Times New Roman" w:hAnsi="Aptos" w:cs="Times New Roman"/>
      <w:i/>
      <w:iCs/>
      <w:color w:val="272727"/>
      <w:kern w:val="2"/>
      <w:sz w:val="22"/>
      <w:szCs w:val="22"/>
    </w:rPr>
  </w:style>
  <w:style w:type="paragraph" w:customStyle="1" w:styleId="Heading91">
    <w:name w:val="Heading 91"/>
    <w:basedOn w:val="Normal"/>
    <w:next w:val="Normal"/>
    <w:uiPriority w:val="9"/>
    <w:semiHidden/>
    <w:qFormat/>
    <w:rsid w:val="00705A1C"/>
    <w:pPr>
      <w:keepNext/>
      <w:keepLines/>
      <w:suppressAutoHyphens w:val="0"/>
      <w:autoSpaceDE/>
      <w:autoSpaceDN/>
      <w:adjustRightInd/>
      <w:spacing w:after="0" w:line="259" w:lineRule="auto"/>
      <w:textAlignment w:val="auto"/>
      <w:outlineLvl w:val="8"/>
    </w:pPr>
    <w:rPr>
      <w:rFonts w:ascii="Aptos" w:eastAsia="Times New Roman" w:hAnsi="Aptos" w:cs="Times New Roman"/>
      <w:color w:val="272727"/>
      <w:kern w:val="2"/>
      <w:sz w:val="22"/>
      <w:szCs w:val="22"/>
    </w:rPr>
  </w:style>
  <w:style w:type="numbering" w:customStyle="1" w:styleId="NoList1">
    <w:name w:val="No List1"/>
    <w:next w:val="NoList"/>
    <w:uiPriority w:val="99"/>
    <w:semiHidden/>
    <w:unhideWhenUsed/>
    <w:rsid w:val="00705A1C"/>
  </w:style>
  <w:style w:type="character" w:customStyle="1" w:styleId="Heading7Char">
    <w:name w:val="Heading 7 Char"/>
    <w:basedOn w:val="DefaultParagraphFont"/>
    <w:link w:val="Heading7"/>
    <w:uiPriority w:val="9"/>
    <w:semiHidden/>
    <w:rsid w:val="00705A1C"/>
    <w:rPr>
      <w:rFonts w:eastAsia="Times New Roman" w:cs="Times New Roman"/>
      <w:color w:val="595959"/>
    </w:rPr>
  </w:style>
  <w:style w:type="character" w:customStyle="1" w:styleId="Heading8Char">
    <w:name w:val="Heading 8 Char"/>
    <w:basedOn w:val="DefaultParagraphFont"/>
    <w:link w:val="Heading8"/>
    <w:uiPriority w:val="9"/>
    <w:semiHidden/>
    <w:rsid w:val="00705A1C"/>
    <w:rPr>
      <w:rFonts w:eastAsia="Times New Roman" w:cs="Times New Roman"/>
      <w:i/>
      <w:iCs/>
      <w:color w:val="272727"/>
    </w:rPr>
  </w:style>
  <w:style w:type="character" w:customStyle="1" w:styleId="Heading9Char">
    <w:name w:val="Heading 9 Char"/>
    <w:basedOn w:val="DefaultParagraphFont"/>
    <w:link w:val="Heading9"/>
    <w:uiPriority w:val="9"/>
    <w:semiHidden/>
    <w:rsid w:val="00705A1C"/>
    <w:rPr>
      <w:rFonts w:eastAsia="Times New Roman" w:cs="Times New Roman"/>
      <w:color w:val="272727"/>
    </w:rPr>
  </w:style>
  <w:style w:type="paragraph" w:customStyle="1" w:styleId="Subtitle1">
    <w:name w:val="Subtitle1"/>
    <w:basedOn w:val="Normal"/>
    <w:next w:val="Normal"/>
    <w:uiPriority w:val="11"/>
    <w:qFormat/>
    <w:rsid w:val="00705A1C"/>
    <w:pPr>
      <w:numPr>
        <w:ilvl w:val="1"/>
      </w:numPr>
      <w:suppressAutoHyphens w:val="0"/>
      <w:autoSpaceDE/>
      <w:autoSpaceDN/>
      <w:adjustRightInd/>
      <w:spacing w:after="160" w:line="259" w:lineRule="auto"/>
      <w:textAlignment w:val="auto"/>
    </w:pPr>
    <w:rPr>
      <w:rFonts w:ascii="Aptos" w:eastAsia="Times New Roman" w:hAnsi="Aptos" w:cs="Times New Roman"/>
      <w:color w:val="595959"/>
      <w:spacing w:val="15"/>
      <w:kern w:val="2"/>
      <w:sz w:val="28"/>
      <w:szCs w:val="28"/>
    </w:rPr>
  </w:style>
  <w:style w:type="character" w:customStyle="1" w:styleId="SubtitleChar">
    <w:name w:val="Subtitle Char"/>
    <w:basedOn w:val="DefaultParagraphFont"/>
    <w:link w:val="Subtitle"/>
    <w:uiPriority w:val="11"/>
    <w:rsid w:val="00705A1C"/>
    <w:rPr>
      <w:rFonts w:eastAsia="Times New Roman" w:cs="Times New Roman"/>
      <w:color w:val="595959"/>
      <w:spacing w:val="15"/>
      <w:sz w:val="28"/>
      <w:szCs w:val="28"/>
    </w:rPr>
  </w:style>
  <w:style w:type="paragraph" w:customStyle="1" w:styleId="Quote1">
    <w:name w:val="Quote1"/>
    <w:basedOn w:val="Normal"/>
    <w:next w:val="Normal"/>
    <w:uiPriority w:val="29"/>
    <w:qFormat/>
    <w:rsid w:val="00705A1C"/>
    <w:pPr>
      <w:suppressAutoHyphens w:val="0"/>
      <w:autoSpaceDE/>
      <w:autoSpaceDN/>
      <w:adjustRightInd/>
      <w:spacing w:before="160" w:after="160" w:line="259" w:lineRule="auto"/>
      <w:jc w:val="center"/>
      <w:textAlignment w:val="auto"/>
    </w:pPr>
    <w:rPr>
      <w:rFonts w:ascii="Aptos" w:hAnsi="Aptos" w:cs="Times New Roman"/>
      <w:i/>
      <w:iCs/>
      <w:color w:val="404040"/>
      <w:kern w:val="2"/>
      <w:sz w:val="22"/>
      <w:szCs w:val="22"/>
    </w:rPr>
  </w:style>
  <w:style w:type="character" w:customStyle="1" w:styleId="QuoteChar">
    <w:name w:val="Quote Char"/>
    <w:basedOn w:val="DefaultParagraphFont"/>
    <w:link w:val="Quote"/>
    <w:uiPriority w:val="29"/>
    <w:rsid w:val="00705A1C"/>
    <w:rPr>
      <w:i/>
      <w:iCs/>
      <w:color w:val="404040"/>
    </w:rPr>
  </w:style>
  <w:style w:type="character" w:customStyle="1" w:styleId="IntenseEmphasis1">
    <w:name w:val="Intense Emphasis1"/>
    <w:basedOn w:val="DefaultParagraphFont"/>
    <w:uiPriority w:val="21"/>
    <w:qFormat/>
    <w:rsid w:val="00705A1C"/>
    <w:rPr>
      <w:i/>
      <w:iCs/>
      <w:color w:val="0F4761"/>
    </w:rPr>
  </w:style>
  <w:style w:type="paragraph" w:customStyle="1" w:styleId="IntenseQuote1">
    <w:name w:val="Intense Quote1"/>
    <w:basedOn w:val="Normal"/>
    <w:next w:val="Normal"/>
    <w:uiPriority w:val="30"/>
    <w:qFormat/>
    <w:rsid w:val="00705A1C"/>
    <w:pPr>
      <w:pBdr>
        <w:top w:val="single" w:sz="4" w:space="10" w:color="0F4761"/>
        <w:bottom w:val="single" w:sz="4" w:space="10" w:color="0F4761"/>
      </w:pBdr>
      <w:suppressAutoHyphens w:val="0"/>
      <w:autoSpaceDE/>
      <w:autoSpaceDN/>
      <w:adjustRightInd/>
      <w:spacing w:before="360" w:after="360" w:line="259" w:lineRule="auto"/>
      <w:ind w:left="864" w:right="864"/>
      <w:jc w:val="center"/>
      <w:textAlignment w:val="auto"/>
    </w:pPr>
    <w:rPr>
      <w:rFonts w:ascii="Aptos" w:hAnsi="Aptos" w:cs="Times New Roman"/>
      <w:i/>
      <w:iCs/>
      <w:color w:val="0F4761"/>
      <w:kern w:val="2"/>
      <w:sz w:val="22"/>
      <w:szCs w:val="22"/>
    </w:rPr>
  </w:style>
  <w:style w:type="character" w:customStyle="1" w:styleId="IntenseQuoteChar">
    <w:name w:val="Intense Quote Char"/>
    <w:basedOn w:val="DefaultParagraphFont"/>
    <w:link w:val="IntenseQuote"/>
    <w:uiPriority w:val="30"/>
    <w:rsid w:val="00705A1C"/>
    <w:rPr>
      <w:i/>
      <w:iCs/>
      <w:color w:val="0F4761"/>
    </w:rPr>
  </w:style>
  <w:style w:type="character" w:customStyle="1" w:styleId="IntenseReference1">
    <w:name w:val="Intense Reference1"/>
    <w:basedOn w:val="DefaultParagraphFont"/>
    <w:uiPriority w:val="32"/>
    <w:qFormat/>
    <w:rsid w:val="00705A1C"/>
    <w:rPr>
      <w:b/>
      <w:bCs/>
      <w:smallCaps/>
      <w:color w:val="0F4761"/>
      <w:spacing w:val="5"/>
    </w:rPr>
  </w:style>
  <w:style w:type="character" w:customStyle="1" w:styleId="Hyperlink1">
    <w:name w:val="Hyperlink1"/>
    <w:basedOn w:val="DefaultParagraphFont"/>
    <w:uiPriority w:val="99"/>
    <w:semiHidden/>
    <w:rsid w:val="00705A1C"/>
    <w:rPr>
      <w:i/>
      <w:color w:val="505669"/>
      <w:u w:val="single"/>
    </w:rPr>
  </w:style>
  <w:style w:type="table" w:customStyle="1" w:styleId="TableGrid4">
    <w:name w:val="Table Grid4"/>
    <w:basedOn w:val="TableNormal"/>
    <w:next w:val="TableGrid"/>
    <w:uiPriority w:val="39"/>
    <w:rsid w:val="00705A1C"/>
    <w:pPr>
      <w:spacing w:after="0" w:line="240" w:lineRule="auto"/>
    </w:pPr>
    <w:rPr>
      <w:rFonts w:ascii="Aptos" w:hAnsi="Aptos" w:cs="Times New Roman"/>
      <w:color w:val="auto"/>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H2">
    <w:name w:val="*Intro (H2)"/>
    <w:basedOn w:val="Normal"/>
    <w:next w:val="Normal"/>
    <w:uiPriority w:val="3"/>
    <w:qFormat/>
    <w:rsid w:val="00705A1C"/>
    <w:pPr>
      <w:suppressAutoHyphens w:val="0"/>
      <w:autoSpaceDE/>
      <w:autoSpaceDN/>
      <w:adjustRightInd/>
      <w:spacing w:after="400" w:line="276" w:lineRule="auto"/>
      <w:textAlignment w:val="auto"/>
    </w:pPr>
    <w:rPr>
      <w:b/>
      <w:color w:val="474E67"/>
      <w:sz w:val="22"/>
      <w:szCs w:val="18"/>
      <w:lang w:val="en-GB"/>
    </w:rPr>
  </w:style>
  <w:style w:type="table" w:customStyle="1" w:styleId="DPMCpullout1">
    <w:name w:val="DPMC pullout1"/>
    <w:basedOn w:val="TableNormal"/>
    <w:uiPriority w:val="99"/>
    <w:rsid w:val="00705A1C"/>
    <w:pPr>
      <w:spacing w:after="240" w:line="240" w:lineRule="auto"/>
    </w:pPr>
    <w:rPr>
      <w:color w:val="auto"/>
    </w:rPr>
    <w:tblPr>
      <w:tblBorders>
        <w:top w:val="single" w:sz="4" w:space="0" w:color="475169"/>
        <w:bottom w:val="single" w:sz="4" w:space="0" w:color="475169"/>
      </w:tblBorders>
      <w:tblCellMar>
        <w:top w:w="113" w:type="dxa"/>
        <w:left w:w="170" w:type="dxa"/>
        <w:right w:w="170" w:type="dxa"/>
      </w:tblCellMar>
    </w:tblPr>
    <w:trPr>
      <w:cantSplit/>
    </w:trPr>
    <w:tcPr>
      <w:shd w:val="clear" w:color="auto" w:fill="E6E7E8"/>
    </w:tcPr>
  </w:style>
  <w:style w:type="character" w:customStyle="1" w:styleId="Footer1">
    <w:name w:val="Footer1"/>
    <w:uiPriority w:val="8"/>
    <w:semiHidden/>
    <w:qFormat/>
    <w:rsid w:val="00705A1C"/>
    <w:rPr>
      <w:rFonts w:ascii="Arial" w:hAnsi="Arial"/>
      <w:sz w:val="15"/>
    </w:rPr>
  </w:style>
  <w:style w:type="table" w:customStyle="1" w:styleId="DPMCtable1">
    <w:name w:val="DPMC table1"/>
    <w:basedOn w:val="TableNormal"/>
    <w:uiPriority w:val="99"/>
    <w:rsid w:val="00705A1C"/>
    <w:pPr>
      <w:spacing w:before="60" w:after="120" w:line="240" w:lineRule="auto"/>
    </w:pPr>
    <w:rPr>
      <w:color w:val="auto"/>
    </w:rPr>
    <w:tblPr>
      <w:tblBorders>
        <w:bottom w:val="single" w:sz="4" w:space="0" w:color="474E67"/>
      </w:tblBorders>
    </w:tblPr>
    <w:trPr>
      <w:cantSplit/>
    </w:trPr>
    <w:tcPr>
      <w:shd w:val="clear" w:color="auto" w:fill="E6E7E8"/>
    </w:tcPr>
    <w:tblStylePr w:type="firstRow">
      <w:pPr>
        <w:wordWrap/>
        <w:spacing w:beforeLines="0" w:before="60" w:beforeAutospacing="0" w:afterLines="0" w:after="60" w:afterAutospacing="0"/>
        <w:contextualSpacing w:val="0"/>
        <w:jc w:val="left"/>
      </w:pPr>
      <w:rPr>
        <w:rFonts w:ascii="Arial" w:hAnsi="Arial"/>
        <w:b/>
        <w:i w:val="0"/>
        <w:caps/>
        <w:smallCaps w:val="0"/>
        <w:color w:val="FFFFFF"/>
        <w:sz w:val="16"/>
      </w:rPr>
      <w:tblPr/>
      <w:trPr>
        <w:cantSplit w:val="0"/>
      </w:trPr>
      <w:tcPr>
        <w:tcBorders>
          <w:top w:val="nil"/>
          <w:left w:val="nil"/>
          <w:bottom w:val="nil"/>
          <w:right w:val="nil"/>
          <w:insideH w:val="nil"/>
          <w:insideV w:val="nil"/>
          <w:tl2br w:val="nil"/>
          <w:tr2bl w:val="nil"/>
        </w:tcBorders>
        <w:shd w:val="clear" w:color="auto" w:fill="475169"/>
      </w:tcPr>
    </w:tblStylePr>
    <w:tblStylePr w:type="firstCol">
      <w:rPr>
        <w:b w:val="0"/>
        <w:color w:val="0E2841"/>
      </w:rPr>
    </w:tblStylePr>
  </w:style>
  <w:style w:type="paragraph" w:customStyle="1" w:styleId="bullets">
    <w:name w:val="bullets"/>
    <w:basedOn w:val="tableboxbody"/>
    <w:uiPriority w:val="9"/>
    <w:semiHidden/>
    <w:qFormat/>
    <w:rsid w:val="00705A1C"/>
    <w:pPr>
      <w:numPr>
        <w:numId w:val="9"/>
      </w:numPr>
      <w:suppressAutoHyphens w:val="0"/>
      <w:autoSpaceDE/>
      <w:autoSpaceDN/>
      <w:adjustRightInd/>
      <w:spacing w:before="0" w:after="40" w:line="240" w:lineRule="auto"/>
      <w:ind w:left="1068"/>
      <w:textAlignment w:val="auto"/>
    </w:pPr>
    <w:rPr>
      <w:color w:val="191919"/>
      <w:spacing w:val="-1"/>
      <w:sz w:val="18"/>
      <w:szCs w:val="18"/>
    </w:rPr>
  </w:style>
  <w:style w:type="paragraph" w:customStyle="1" w:styleId="body0">
    <w:name w:val="body"/>
    <w:basedOn w:val="tablebodyheading"/>
    <w:uiPriority w:val="9"/>
    <w:semiHidden/>
    <w:qFormat/>
    <w:rsid w:val="00705A1C"/>
    <w:pPr>
      <w:keepNext/>
      <w:suppressAutoHyphens w:val="0"/>
      <w:autoSpaceDE/>
      <w:autoSpaceDN/>
      <w:adjustRightInd/>
      <w:spacing w:before="240" w:after="60"/>
      <w:textAlignment w:val="auto"/>
    </w:pPr>
    <w:rPr>
      <w:spacing w:val="-1"/>
      <w:sz w:val="18"/>
      <w:szCs w:val="18"/>
    </w:rPr>
  </w:style>
  <w:style w:type="paragraph" w:customStyle="1" w:styleId="listsec">
    <w:name w:val="*list sec"/>
    <w:basedOn w:val="list"/>
    <w:uiPriority w:val="2"/>
    <w:qFormat/>
    <w:rsid w:val="00705A1C"/>
    <w:pPr>
      <w:numPr>
        <w:ilvl w:val="1"/>
        <w:numId w:val="10"/>
      </w:numPr>
      <w:ind w:left="454" w:hanging="227"/>
    </w:pPr>
  </w:style>
  <w:style w:type="paragraph" w:customStyle="1" w:styleId="Figureh4">
    <w:name w:val="Figure h4"/>
    <w:next w:val="body"/>
    <w:uiPriority w:val="4"/>
    <w:qFormat/>
    <w:rsid w:val="00705A1C"/>
    <w:pPr>
      <w:keepNext/>
      <w:spacing w:before="360"/>
    </w:pPr>
    <w:rPr>
      <w:caps/>
      <w:sz w:val="17"/>
      <w:szCs w:val="17"/>
      <w:lang w:val="en-GB"/>
    </w:rPr>
  </w:style>
  <w:style w:type="paragraph" w:customStyle="1" w:styleId="Tablehead">
    <w:name w:val="Table head"/>
    <w:uiPriority w:val="5"/>
    <w:qFormat/>
    <w:rsid w:val="00705A1C"/>
    <w:pPr>
      <w:keepNext/>
      <w:keepLines/>
      <w:spacing w:before="100" w:after="80"/>
    </w:pPr>
    <w:rPr>
      <w:caps/>
      <w:color w:val="FFFFFF"/>
      <w:sz w:val="16"/>
      <w:szCs w:val="16"/>
      <w:lang w:val="en-GB"/>
    </w:rPr>
  </w:style>
  <w:style w:type="paragraph" w:customStyle="1" w:styleId="Tablebody">
    <w:name w:val="Table body"/>
    <w:uiPriority w:val="5"/>
    <w:qFormat/>
    <w:rsid w:val="00705A1C"/>
    <w:pPr>
      <w:spacing w:after="120" w:line="240" w:lineRule="auto"/>
    </w:pPr>
    <w:rPr>
      <w:bCs/>
      <w:color w:val="auto"/>
      <w:lang w:val="en-GB"/>
    </w:rPr>
  </w:style>
  <w:style w:type="table" w:customStyle="1" w:styleId="Simple">
    <w:name w:val="Simple"/>
    <w:basedOn w:val="TableNormal"/>
    <w:uiPriority w:val="99"/>
    <w:rsid w:val="00705A1C"/>
    <w:pPr>
      <w:spacing w:after="0" w:line="240" w:lineRule="auto"/>
    </w:pPr>
    <w:rPr>
      <w:rFonts w:ascii="Aptos" w:hAnsi="Aptos" w:cs="Times New Roman"/>
      <w:color w:val="auto"/>
      <w:kern w:val="2"/>
      <w:sz w:val="22"/>
      <w:szCs w:val="22"/>
    </w:rPr>
    <w:tblPr/>
  </w:style>
  <w:style w:type="character" w:customStyle="1" w:styleId="Heading7Char1">
    <w:name w:val="Heading 7 Char1"/>
    <w:basedOn w:val="DefaultParagraphFont"/>
    <w:uiPriority w:val="9"/>
    <w:semiHidden/>
    <w:rsid w:val="00705A1C"/>
    <w:rPr>
      <w:rFonts w:asciiTheme="majorHAnsi" w:eastAsiaTheme="majorEastAsia" w:hAnsiTheme="majorHAnsi" w:cstheme="majorBidi"/>
      <w:i/>
      <w:iCs/>
      <w:color w:val="581527" w:themeColor="accent1" w:themeShade="7F"/>
      <w:sz w:val="24"/>
      <w:szCs w:val="36"/>
    </w:rPr>
  </w:style>
  <w:style w:type="character" w:customStyle="1" w:styleId="Heading8Char1">
    <w:name w:val="Heading 8 Char1"/>
    <w:basedOn w:val="DefaultParagraphFont"/>
    <w:uiPriority w:val="9"/>
    <w:semiHidden/>
    <w:rsid w:val="00705A1C"/>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705A1C"/>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semiHidden/>
    <w:rsid w:val="00705A1C"/>
    <w:pPr>
      <w:numPr>
        <w:ilvl w:val="1"/>
      </w:numPr>
      <w:spacing w:after="160"/>
    </w:pPr>
    <w:rPr>
      <w:rFonts w:eastAsia="Times New Roman" w:cs="Times New Roman"/>
      <w:color w:val="595959"/>
      <w:spacing w:val="15"/>
      <w:sz w:val="28"/>
      <w:szCs w:val="28"/>
    </w:rPr>
  </w:style>
  <w:style w:type="character" w:customStyle="1" w:styleId="SubtitleChar1">
    <w:name w:val="Subtitle Char1"/>
    <w:basedOn w:val="DefaultParagraphFont"/>
    <w:uiPriority w:val="11"/>
    <w:semiHidden/>
    <w:rsid w:val="00705A1C"/>
    <w:rPr>
      <w:rFonts w:asciiTheme="minorHAnsi" w:eastAsiaTheme="minorEastAsia" w:hAnsiTheme="minorHAnsi" w:cstheme="minorBidi"/>
      <w:color w:val="5A5A5A" w:themeColor="text1" w:themeTint="A5"/>
      <w:spacing w:val="15"/>
      <w:sz w:val="22"/>
      <w:szCs w:val="22"/>
    </w:rPr>
  </w:style>
  <w:style w:type="paragraph" w:styleId="Quote">
    <w:name w:val="Quote"/>
    <w:basedOn w:val="Normal"/>
    <w:next w:val="Normal"/>
    <w:link w:val="QuoteChar"/>
    <w:uiPriority w:val="29"/>
    <w:semiHidden/>
    <w:rsid w:val="00705A1C"/>
    <w:pPr>
      <w:spacing w:before="200" w:after="160"/>
      <w:ind w:left="864" w:right="864"/>
      <w:jc w:val="center"/>
    </w:pPr>
    <w:rPr>
      <w:i/>
      <w:iCs/>
      <w:color w:val="404040"/>
      <w:sz w:val="18"/>
      <w:szCs w:val="18"/>
    </w:rPr>
  </w:style>
  <w:style w:type="character" w:customStyle="1" w:styleId="QuoteChar1">
    <w:name w:val="Quote Char1"/>
    <w:basedOn w:val="DefaultParagraphFont"/>
    <w:uiPriority w:val="29"/>
    <w:semiHidden/>
    <w:rsid w:val="00705A1C"/>
    <w:rPr>
      <w:i/>
      <w:iCs/>
      <w:color w:val="404040" w:themeColor="text1" w:themeTint="BF"/>
      <w:sz w:val="24"/>
      <w:szCs w:val="36"/>
    </w:rPr>
  </w:style>
  <w:style w:type="character" w:styleId="IntenseEmphasis">
    <w:name w:val="Intense Emphasis"/>
    <w:basedOn w:val="DefaultParagraphFont"/>
    <w:uiPriority w:val="21"/>
    <w:semiHidden/>
    <w:rsid w:val="00705A1C"/>
    <w:rPr>
      <w:i/>
      <w:iCs/>
      <w:color w:val="B22B4F" w:themeColor="accent1"/>
    </w:rPr>
  </w:style>
  <w:style w:type="paragraph" w:styleId="IntenseQuote">
    <w:name w:val="Intense Quote"/>
    <w:basedOn w:val="Normal"/>
    <w:next w:val="Normal"/>
    <w:link w:val="IntenseQuoteChar"/>
    <w:uiPriority w:val="30"/>
    <w:semiHidden/>
    <w:rsid w:val="00705A1C"/>
    <w:pPr>
      <w:pBdr>
        <w:top w:val="single" w:sz="4" w:space="10" w:color="B22B4F" w:themeColor="accent1"/>
        <w:bottom w:val="single" w:sz="4" w:space="10" w:color="B22B4F" w:themeColor="accent1"/>
      </w:pBdr>
      <w:spacing w:before="360" w:after="360"/>
      <w:ind w:left="864" w:right="864"/>
      <w:jc w:val="center"/>
    </w:pPr>
    <w:rPr>
      <w:i/>
      <w:iCs/>
      <w:color w:val="0F4761"/>
      <w:sz w:val="18"/>
      <w:szCs w:val="18"/>
    </w:rPr>
  </w:style>
  <w:style w:type="character" w:customStyle="1" w:styleId="IntenseQuoteChar1">
    <w:name w:val="Intense Quote Char1"/>
    <w:basedOn w:val="DefaultParagraphFont"/>
    <w:uiPriority w:val="30"/>
    <w:semiHidden/>
    <w:rsid w:val="00705A1C"/>
    <w:rPr>
      <w:i/>
      <w:iCs/>
      <w:color w:val="B22B4F" w:themeColor="accent1"/>
      <w:sz w:val="24"/>
      <w:szCs w:val="36"/>
    </w:rPr>
  </w:style>
  <w:style w:type="character" w:styleId="IntenseReference">
    <w:name w:val="Intense Reference"/>
    <w:basedOn w:val="DefaultParagraphFont"/>
    <w:uiPriority w:val="32"/>
    <w:semiHidden/>
    <w:rsid w:val="00705A1C"/>
    <w:rPr>
      <w:b/>
      <w:bCs/>
      <w:smallCaps/>
      <w:color w:val="B22B4F" w:themeColor="accent1"/>
      <w:spacing w:val="5"/>
    </w:rPr>
  </w:style>
  <w:style w:type="paragraph" w:customStyle="1" w:styleId="BoxHead1">
    <w:name w:val="Box Head 1"/>
    <w:basedOn w:val="h4"/>
    <w:rsid w:val="003830B8"/>
    <w:pPr>
      <w:framePr w:hSpace="180" w:wrap="around" w:vAnchor="text" w:hAnchor="margin" w:y="2288"/>
      <w:spacing w:before="240" w:after="120"/>
      <w:ind w:left="170" w:right="170"/>
    </w:pPr>
    <w:rPr>
      <w:bCs/>
      <w:color w:val="auto"/>
      <w:sz w:val="28"/>
      <w:szCs w:val="36"/>
    </w:rPr>
  </w:style>
  <w:style w:type="paragraph" w:customStyle="1" w:styleId="BoxBody">
    <w:name w:val="Box Body"/>
    <w:basedOn w:val="Normal"/>
    <w:rsid w:val="00B52CDA"/>
    <w:pPr>
      <w:ind w:left="170" w:right="170"/>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333212">
      <w:bodyDiv w:val="1"/>
      <w:marLeft w:val="0"/>
      <w:marRight w:val="0"/>
      <w:marTop w:val="0"/>
      <w:marBottom w:val="0"/>
      <w:divBdr>
        <w:top w:val="none" w:sz="0" w:space="0" w:color="auto"/>
        <w:left w:val="none" w:sz="0" w:space="0" w:color="auto"/>
        <w:bottom w:val="none" w:sz="0" w:space="0" w:color="auto"/>
        <w:right w:val="none" w:sz="0" w:space="0" w:color="auto"/>
      </w:divBdr>
    </w:div>
    <w:div w:id="87502357">
      <w:bodyDiv w:val="1"/>
      <w:marLeft w:val="0"/>
      <w:marRight w:val="0"/>
      <w:marTop w:val="0"/>
      <w:marBottom w:val="0"/>
      <w:divBdr>
        <w:top w:val="none" w:sz="0" w:space="0" w:color="auto"/>
        <w:left w:val="none" w:sz="0" w:space="0" w:color="auto"/>
        <w:bottom w:val="none" w:sz="0" w:space="0" w:color="auto"/>
        <w:right w:val="none" w:sz="0" w:space="0" w:color="auto"/>
      </w:divBdr>
      <w:divsChild>
        <w:div w:id="1251893196">
          <w:marLeft w:val="0"/>
          <w:marRight w:val="0"/>
          <w:marTop w:val="0"/>
          <w:marBottom w:val="0"/>
          <w:divBdr>
            <w:top w:val="single" w:sz="2" w:space="0" w:color="E5E7EB"/>
            <w:left w:val="single" w:sz="2" w:space="0" w:color="E5E7EB"/>
            <w:bottom w:val="single" w:sz="2" w:space="0" w:color="E5E7EB"/>
            <w:right w:val="single" w:sz="2" w:space="0" w:color="E5E7EB"/>
          </w:divBdr>
          <w:divsChild>
            <w:div w:id="1545829056">
              <w:marLeft w:val="0"/>
              <w:marRight w:val="0"/>
              <w:marTop w:val="0"/>
              <w:marBottom w:val="0"/>
              <w:divBdr>
                <w:top w:val="none" w:sz="0" w:space="0" w:color="auto"/>
                <w:left w:val="none" w:sz="0" w:space="0" w:color="auto"/>
                <w:bottom w:val="none" w:sz="0" w:space="0" w:color="auto"/>
                <w:right w:val="none" w:sz="0" w:space="0" w:color="auto"/>
              </w:divBdr>
              <w:divsChild>
                <w:div w:id="1130123329">
                  <w:marLeft w:val="0"/>
                  <w:marRight w:val="0"/>
                  <w:marTop w:val="120"/>
                  <w:marBottom w:val="0"/>
                  <w:divBdr>
                    <w:top w:val="none" w:sz="0" w:space="0" w:color="auto"/>
                    <w:left w:val="none" w:sz="0" w:space="0" w:color="auto"/>
                    <w:bottom w:val="none" w:sz="0" w:space="0" w:color="auto"/>
                    <w:right w:val="none" w:sz="0" w:space="0" w:color="auto"/>
                  </w:divBdr>
                  <w:divsChild>
                    <w:div w:id="1072197842">
                      <w:marLeft w:val="-120"/>
                      <w:marRight w:val="0"/>
                      <w:marTop w:val="0"/>
                      <w:marBottom w:val="0"/>
                      <w:divBdr>
                        <w:top w:val="single" w:sz="2" w:space="0" w:color="E5E7EB"/>
                        <w:left w:val="single" w:sz="2" w:space="0" w:color="E5E7EB"/>
                        <w:bottom w:val="single" w:sz="2" w:space="0" w:color="E5E7EB"/>
                        <w:right w:val="single" w:sz="2" w:space="0" w:color="E5E7EB"/>
                      </w:divBdr>
                      <w:divsChild>
                        <w:div w:id="1237323365">
                          <w:marLeft w:val="0"/>
                          <w:marRight w:val="0"/>
                          <w:marTop w:val="0"/>
                          <w:marBottom w:val="0"/>
                          <w:divBdr>
                            <w:top w:val="single" w:sz="2" w:space="0" w:color="E5E7EB"/>
                            <w:left w:val="single" w:sz="2" w:space="0" w:color="E5E7EB"/>
                            <w:bottom w:val="single" w:sz="2" w:space="0" w:color="E5E7EB"/>
                            <w:right w:val="single" w:sz="2" w:space="0" w:color="E5E7EB"/>
                          </w:divBdr>
                          <w:divsChild>
                            <w:div w:id="633173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981381">
                          <w:marLeft w:val="0"/>
                          <w:marRight w:val="0"/>
                          <w:marTop w:val="0"/>
                          <w:marBottom w:val="0"/>
                          <w:divBdr>
                            <w:top w:val="single" w:sz="2" w:space="0" w:color="E5E7EB"/>
                            <w:left w:val="single" w:sz="2" w:space="0" w:color="E5E7EB"/>
                            <w:bottom w:val="single" w:sz="2" w:space="0" w:color="E5E7EB"/>
                            <w:right w:val="single" w:sz="2" w:space="0" w:color="E5E7EB"/>
                          </w:divBdr>
                          <w:divsChild>
                            <w:div w:id="82069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79526471">
                  <w:marLeft w:val="0"/>
                  <w:marRight w:val="0"/>
                  <w:marTop w:val="0"/>
                  <w:marBottom w:val="0"/>
                  <w:divBdr>
                    <w:top w:val="none" w:sz="0" w:space="0" w:color="auto"/>
                    <w:left w:val="none" w:sz="0" w:space="0" w:color="auto"/>
                    <w:bottom w:val="none" w:sz="0" w:space="0" w:color="auto"/>
                    <w:right w:val="none" w:sz="0" w:space="0" w:color="auto"/>
                  </w:divBdr>
                  <w:divsChild>
                    <w:div w:id="280186542">
                      <w:marLeft w:val="0"/>
                      <w:marRight w:val="0"/>
                      <w:marTop w:val="0"/>
                      <w:marBottom w:val="0"/>
                      <w:divBdr>
                        <w:top w:val="single" w:sz="2" w:space="0" w:color="E5E7EB"/>
                        <w:left w:val="single" w:sz="2" w:space="0" w:color="E5E7EB"/>
                        <w:bottom w:val="single" w:sz="2" w:space="0" w:color="E5E7EB"/>
                        <w:right w:val="single" w:sz="2" w:space="0" w:color="E5E7EB"/>
                      </w:divBdr>
                      <w:divsChild>
                        <w:div w:id="1532304857">
                          <w:marLeft w:val="0"/>
                          <w:marRight w:val="0"/>
                          <w:marTop w:val="0"/>
                          <w:marBottom w:val="0"/>
                          <w:divBdr>
                            <w:top w:val="single" w:sz="2" w:space="0" w:color="E5E7EB"/>
                            <w:left w:val="single" w:sz="2" w:space="0" w:color="E5E7EB"/>
                            <w:bottom w:val="single" w:sz="2" w:space="0" w:color="E5E7EB"/>
                            <w:right w:val="single" w:sz="2" w:space="0" w:color="E5E7EB"/>
                          </w:divBdr>
                          <w:divsChild>
                            <w:div w:id="1466656564">
                              <w:marLeft w:val="0"/>
                              <w:marRight w:val="0"/>
                              <w:marTop w:val="0"/>
                              <w:marBottom w:val="0"/>
                              <w:divBdr>
                                <w:top w:val="single" w:sz="2" w:space="0" w:color="E5E7EB"/>
                                <w:left w:val="single" w:sz="2" w:space="0" w:color="E5E7EB"/>
                                <w:bottom w:val="single" w:sz="2" w:space="0" w:color="E5E7EB"/>
                                <w:right w:val="single" w:sz="2" w:space="0" w:color="E5E7EB"/>
                              </w:divBdr>
                              <w:divsChild>
                                <w:div w:id="4657048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99568612">
      <w:bodyDiv w:val="1"/>
      <w:marLeft w:val="0"/>
      <w:marRight w:val="0"/>
      <w:marTop w:val="0"/>
      <w:marBottom w:val="0"/>
      <w:divBdr>
        <w:top w:val="none" w:sz="0" w:space="0" w:color="auto"/>
        <w:left w:val="none" w:sz="0" w:space="0" w:color="auto"/>
        <w:bottom w:val="none" w:sz="0" w:space="0" w:color="auto"/>
        <w:right w:val="none" w:sz="0" w:space="0" w:color="auto"/>
      </w:divBdr>
    </w:div>
    <w:div w:id="138815321">
      <w:bodyDiv w:val="1"/>
      <w:marLeft w:val="0"/>
      <w:marRight w:val="0"/>
      <w:marTop w:val="0"/>
      <w:marBottom w:val="0"/>
      <w:divBdr>
        <w:top w:val="none" w:sz="0" w:space="0" w:color="auto"/>
        <w:left w:val="none" w:sz="0" w:space="0" w:color="auto"/>
        <w:bottom w:val="none" w:sz="0" w:space="0" w:color="auto"/>
        <w:right w:val="none" w:sz="0" w:space="0" w:color="auto"/>
      </w:divBdr>
    </w:div>
    <w:div w:id="224880191">
      <w:bodyDiv w:val="1"/>
      <w:marLeft w:val="0"/>
      <w:marRight w:val="0"/>
      <w:marTop w:val="0"/>
      <w:marBottom w:val="0"/>
      <w:divBdr>
        <w:top w:val="none" w:sz="0" w:space="0" w:color="auto"/>
        <w:left w:val="none" w:sz="0" w:space="0" w:color="auto"/>
        <w:bottom w:val="none" w:sz="0" w:space="0" w:color="auto"/>
        <w:right w:val="none" w:sz="0" w:space="0" w:color="auto"/>
      </w:divBdr>
    </w:div>
    <w:div w:id="230778469">
      <w:bodyDiv w:val="1"/>
      <w:marLeft w:val="0"/>
      <w:marRight w:val="0"/>
      <w:marTop w:val="0"/>
      <w:marBottom w:val="0"/>
      <w:divBdr>
        <w:top w:val="none" w:sz="0" w:space="0" w:color="auto"/>
        <w:left w:val="none" w:sz="0" w:space="0" w:color="auto"/>
        <w:bottom w:val="none" w:sz="0" w:space="0" w:color="auto"/>
        <w:right w:val="none" w:sz="0" w:space="0" w:color="auto"/>
      </w:divBdr>
    </w:div>
    <w:div w:id="246304861">
      <w:bodyDiv w:val="1"/>
      <w:marLeft w:val="0"/>
      <w:marRight w:val="0"/>
      <w:marTop w:val="0"/>
      <w:marBottom w:val="0"/>
      <w:divBdr>
        <w:top w:val="none" w:sz="0" w:space="0" w:color="auto"/>
        <w:left w:val="none" w:sz="0" w:space="0" w:color="auto"/>
        <w:bottom w:val="none" w:sz="0" w:space="0" w:color="auto"/>
        <w:right w:val="none" w:sz="0" w:space="0" w:color="auto"/>
      </w:divBdr>
    </w:div>
    <w:div w:id="279990949">
      <w:bodyDiv w:val="1"/>
      <w:marLeft w:val="0"/>
      <w:marRight w:val="0"/>
      <w:marTop w:val="0"/>
      <w:marBottom w:val="0"/>
      <w:divBdr>
        <w:top w:val="none" w:sz="0" w:space="0" w:color="auto"/>
        <w:left w:val="none" w:sz="0" w:space="0" w:color="auto"/>
        <w:bottom w:val="none" w:sz="0" w:space="0" w:color="auto"/>
        <w:right w:val="none" w:sz="0" w:space="0" w:color="auto"/>
      </w:divBdr>
    </w:div>
    <w:div w:id="281041467">
      <w:bodyDiv w:val="1"/>
      <w:marLeft w:val="0"/>
      <w:marRight w:val="0"/>
      <w:marTop w:val="0"/>
      <w:marBottom w:val="0"/>
      <w:divBdr>
        <w:top w:val="none" w:sz="0" w:space="0" w:color="auto"/>
        <w:left w:val="none" w:sz="0" w:space="0" w:color="auto"/>
        <w:bottom w:val="none" w:sz="0" w:space="0" w:color="auto"/>
        <w:right w:val="none" w:sz="0" w:space="0" w:color="auto"/>
      </w:divBdr>
    </w:div>
    <w:div w:id="361132578">
      <w:bodyDiv w:val="1"/>
      <w:marLeft w:val="0"/>
      <w:marRight w:val="0"/>
      <w:marTop w:val="0"/>
      <w:marBottom w:val="0"/>
      <w:divBdr>
        <w:top w:val="none" w:sz="0" w:space="0" w:color="auto"/>
        <w:left w:val="none" w:sz="0" w:space="0" w:color="auto"/>
        <w:bottom w:val="none" w:sz="0" w:space="0" w:color="auto"/>
        <w:right w:val="none" w:sz="0" w:space="0" w:color="auto"/>
      </w:divBdr>
    </w:div>
    <w:div w:id="391778382">
      <w:bodyDiv w:val="1"/>
      <w:marLeft w:val="0"/>
      <w:marRight w:val="0"/>
      <w:marTop w:val="0"/>
      <w:marBottom w:val="0"/>
      <w:divBdr>
        <w:top w:val="none" w:sz="0" w:space="0" w:color="auto"/>
        <w:left w:val="none" w:sz="0" w:space="0" w:color="auto"/>
        <w:bottom w:val="none" w:sz="0" w:space="0" w:color="auto"/>
        <w:right w:val="none" w:sz="0" w:space="0" w:color="auto"/>
      </w:divBdr>
    </w:div>
    <w:div w:id="420494181">
      <w:bodyDiv w:val="1"/>
      <w:marLeft w:val="0"/>
      <w:marRight w:val="0"/>
      <w:marTop w:val="0"/>
      <w:marBottom w:val="0"/>
      <w:divBdr>
        <w:top w:val="none" w:sz="0" w:space="0" w:color="auto"/>
        <w:left w:val="none" w:sz="0" w:space="0" w:color="auto"/>
        <w:bottom w:val="none" w:sz="0" w:space="0" w:color="auto"/>
        <w:right w:val="none" w:sz="0" w:space="0" w:color="auto"/>
      </w:divBdr>
    </w:div>
    <w:div w:id="448278472">
      <w:bodyDiv w:val="1"/>
      <w:marLeft w:val="0"/>
      <w:marRight w:val="0"/>
      <w:marTop w:val="0"/>
      <w:marBottom w:val="0"/>
      <w:divBdr>
        <w:top w:val="none" w:sz="0" w:space="0" w:color="auto"/>
        <w:left w:val="none" w:sz="0" w:space="0" w:color="auto"/>
        <w:bottom w:val="none" w:sz="0" w:space="0" w:color="auto"/>
        <w:right w:val="none" w:sz="0" w:space="0" w:color="auto"/>
      </w:divBdr>
    </w:div>
    <w:div w:id="540631426">
      <w:bodyDiv w:val="1"/>
      <w:marLeft w:val="0"/>
      <w:marRight w:val="0"/>
      <w:marTop w:val="0"/>
      <w:marBottom w:val="0"/>
      <w:divBdr>
        <w:top w:val="none" w:sz="0" w:space="0" w:color="auto"/>
        <w:left w:val="none" w:sz="0" w:space="0" w:color="auto"/>
        <w:bottom w:val="none" w:sz="0" w:space="0" w:color="auto"/>
        <w:right w:val="none" w:sz="0" w:space="0" w:color="auto"/>
      </w:divBdr>
    </w:div>
    <w:div w:id="555627723">
      <w:bodyDiv w:val="1"/>
      <w:marLeft w:val="0"/>
      <w:marRight w:val="0"/>
      <w:marTop w:val="0"/>
      <w:marBottom w:val="0"/>
      <w:divBdr>
        <w:top w:val="none" w:sz="0" w:space="0" w:color="auto"/>
        <w:left w:val="none" w:sz="0" w:space="0" w:color="auto"/>
        <w:bottom w:val="none" w:sz="0" w:space="0" w:color="auto"/>
        <w:right w:val="none" w:sz="0" w:space="0" w:color="auto"/>
      </w:divBdr>
    </w:div>
    <w:div w:id="583034537">
      <w:bodyDiv w:val="1"/>
      <w:marLeft w:val="0"/>
      <w:marRight w:val="0"/>
      <w:marTop w:val="0"/>
      <w:marBottom w:val="0"/>
      <w:divBdr>
        <w:top w:val="none" w:sz="0" w:space="0" w:color="auto"/>
        <w:left w:val="none" w:sz="0" w:space="0" w:color="auto"/>
        <w:bottom w:val="none" w:sz="0" w:space="0" w:color="auto"/>
        <w:right w:val="none" w:sz="0" w:space="0" w:color="auto"/>
      </w:divBdr>
    </w:div>
    <w:div w:id="589893019">
      <w:bodyDiv w:val="1"/>
      <w:marLeft w:val="0"/>
      <w:marRight w:val="0"/>
      <w:marTop w:val="0"/>
      <w:marBottom w:val="0"/>
      <w:divBdr>
        <w:top w:val="none" w:sz="0" w:space="0" w:color="auto"/>
        <w:left w:val="none" w:sz="0" w:space="0" w:color="auto"/>
        <w:bottom w:val="none" w:sz="0" w:space="0" w:color="auto"/>
        <w:right w:val="none" w:sz="0" w:space="0" w:color="auto"/>
      </w:divBdr>
    </w:div>
    <w:div w:id="598948380">
      <w:bodyDiv w:val="1"/>
      <w:marLeft w:val="0"/>
      <w:marRight w:val="0"/>
      <w:marTop w:val="0"/>
      <w:marBottom w:val="0"/>
      <w:divBdr>
        <w:top w:val="none" w:sz="0" w:space="0" w:color="auto"/>
        <w:left w:val="none" w:sz="0" w:space="0" w:color="auto"/>
        <w:bottom w:val="none" w:sz="0" w:space="0" w:color="auto"/>
        <w:right w:val="none" w:sz="0" w:space="0" w:color="auto"/>
      </w:divBdr>
    </w:div>
    <w:div w:id="610824567">
      <w:bodyDiv w:val="1"/>
      <w:marLeft w:val="0"/>
      <w:marRight w:val="0"/>
      <w:marTop w:val="0"/>
      <w:marBottom w:val="0"/>
      <w:divBdr>
        <w:top w:val="none" w:sz="0" w:space="0" w:color="auto"/>
        <w:left w:val="none" w:sz="0" w:space="0" w:color="auto"/>
        <w:bottom w:val="none" w:sz="0" w:space="0" w:color="auto"/>
        <w:right w:val="none" w:sz="0" w:space="0" w:color="auto"/>
      </w:divBdr>
    </w:div>
    <w:div w:id="707024923">
      <w:bodyDiv w:val="1"/>
      <w:marLeft w:val="0"/>
      <w:marRight w:val="0"/>
      <w:marTop w:val="0"/>
      <w:marBottom w:val="0"/>
      <w:divBdr>
        <w:top w:val="none" w:sz="0" w:space="0" w:color="auto"/>
        <w:left w:val="none" w:sz="0" w:space="0" w:color="auto"/>
        <w:bottom w:val="none" w:sz="0" w:space="0" w:color="auto"/>
        <w:right w:val="none" w:sz="0" w:space="0" w:color="auto"/>
      </w:divBdr>
    </w:div>
    <w:div w:id="741682560">
      <w:bodyDiv w:val="1"/>
      <w:marLeft w:val="0"/>
      <w:marRight w:val="0"/>
      <w:marTop w:val="0"/>
      <w:marBottom w:val="0"/>
      <w:divBdr>
        <w:top w:val="none" w:sz="0" w:space="0" w:color="auto"/>
        <w:left w:val="none" w:sz="0" w:space="0" w:color="auto"/>
        <w:bottom w:val="none" w:sz="0" w:space="0" w:color="auto"/>
        <w:right w:val="none" w:sz="0" w:space="0" w:color="auto"/>
      </w:divBdr>
    </w:div>
    <w:div w:id="762337969">
      <w:bodyDiv w:val="1"/>
      <w:marLeft w:val="0"/>
      <w:marRight w:val="0"/>
      <w:marTop w:val="0"/>
      <w:marBottom w:val="0"/>
      <w:divBdr>
        <w:top w:val="none" w:sz="0" w:space="0" w:color="auto"/>
        <w:left w:val="none" w:sz="0" w:space="0" w:color="auto"/>
        <w:bottom w:val="none" w:sz="0" w:space="0" w:color="auto"/>
        <w:right w:val="none" w:sz="0" w:space="0" w:color="auto"/>
      </w:divBdr>
    </w:div>
    <w:div w:id="787621880">
      <w:bodyDiv w:val="1"/>
      <w:marLeft w:val="0"/>
      <w:marRight w:val="0"/>
      <w:marTop w:val="0"/>
      <w:marBottom w:val="0"/>
      <w:divBdr>
        <w:top w:val="none" w:sz="0" w:space="0" w:color="auto"/>
        <w:left w:val="none" w:sz="0" w:space="0" w:color="auto"/>
        <w:bottom w:val="none" w:sz="0" w:space="0" w:color="auto"/>
        <w:right w:val="none" w:sz="0" w:space="0" w:color="auto"/>
      </w:divBdr>
    </w:div>
    <w:div w:id="798764383">
      <w:bodyDiv w:val="1"/>
      <w:marLeft w:val="0"/>
      <w:marRight w:val="0"/>
      <w:marTop w:val="0"/>
      <w:marBottom w:val="0"/>
      <w:divBdr>
        <w:top w:val="none" w:sz="0" w:space="0" w:color="auto"/>
        <w:left w:val="none" w:sz="0" w:space="0" w:color="auto"/>
        <w:bottom w:val="none" w:sz="0" w:space="0" w:color="auto"/>
        <w:right w:val="none" w:sz="0" w:space="0" w:color="auto"/>
      </w:divBdr>
    </w:div>
    <w:div w:id="819032251">
      <w:bodyDiv w:val="1"/>
      <w:marLeft w:val="0"/>
      <w:marRight w:val="0"/>
      <w:marTop w:val="0"/>
      <w:marBottom w:val="0"/>
      <w:divBdr>
        <w:top w:val="none" w:sz="0" w:space="0" w:color="auto"/>
        <w:left w:val="none" w:sz="0" w:space="0" w:color="auto"/>
        <w:bottom w:val="none" w:sz="0" w:space="0" w:color="auto"/>
        <w:right w:val="none" w:sz="0" w:space="0" w:color="auto"/>
      </w:divBdr>
    </w:div>
    <w:div w:id="819618056">
      <w:bodyDiv w:val="1"/>
      <w:marLeft w:val="0"/>
      <w:marRight w:val="0"/>
      <w:marTop w:val="0"/>
      <w:marBottom w:val="0"/>
      <w:divBdr>
        <w:top w:val="none" w:sz="0" w:space="0" w:color="auto"/>
        <w:left w:val="none" w:sz="0" w:space="0" w:color="auto"/>
        <w:bottom w:val="none" w:sz="0" w:space="0" w:color="auto"/>
        <w:right w:val="none" w:sz="0" w:space="0" w:color="auto"/>
      </w:divBdr>
    </w:div>
    <w:div w:id="858930056">
      <w:bodyDiv w:val="1"/>
      <w:marLeft w:val="0"/>
      <w:marRight w:val="0"/>
      <w:marTop w:val="0"/>
      <w:marBottom w:val="0"/>
      <w:divBdr>
        <w:top w:val="none" w:sz="0" w:space="0" w:color="auto"/>
        <w:left w:val="none" w:sz="0" w:space="0" w:color="auto"/>
        <w:bottom w:val="none" w:sz="0" w:space="0" w:color="auto"/>
        <w:right w:val="none" w:sz="0" w:space="0" w:color="auto"/>
      </w:divBdr>
    </w:div>
    <w:div w:id="861557877">
      <w:bodyDiv w:val="1"/>
      <w:marLeft w:val="0"/>
      <w:marRight w:val="0"/>
      <w:marTop w:val="0"/>
      <w:marBottom w:val="0"/>
      <w:divBdr>
        <w:top w:val="none" w:sz="0" w:space="0" w:color="auto"/>
        <w:left w:val="none" w:sz="0" w:space="0" w:color="auto"/>
        <w:bottom w:val="none" w:sz="0" w:space="0" w:color="auto"/>
        <w:right w:val="none" w:sz="0" w:space="0" w:color="auto"/>
      </w:divBdr>
    </w:div>
    <w:div w:id="888226036">
      <w:bodyDiv w:val="1"/>
      <w:marLeft w:val="0"/>
      <w:marRight w:val="0"/>
      <w:marTop w:val="0"/>
      <w:marBottom w:val="0"/>
      <w:divBdr>
        <w:top w:val="none" w:sz="0" w:space="0" w:color="auto"/>
        <w:left w:val="none" w:sz="0" w:space="0" w:color="auto"/>
        <w:bottom w:val="none" w:sz="0" w:space="0" w:color="auto"/>
        <w:right w:val="none" w:sz="0" w:space="0" w:color="auto"/>
      </w:divBdr>
    </w:div>
    <w:div w:id="896740526">
      <w:bodyDiv w:val="1"/>
      <w:marLeft w:val="0"/>
      <w:marRight w:val="0"/>
      <w:marTop w:val="0"/>
      <w:marBottom w:val="0"/>
      <w:divBdr>
        <w:top w:val="none" w:sz="0" w:space="0" w:color="auto"/>
        <w:left w:val="none" w:sz="0" w:space="0" w:color="auto"/>
        <w:bottom w:val="none" w:sz="0" w:space="0" w:color="auto"/>
        <w:right w:val="none" w:sz="0" w:space="0" w:color="auto"/>
      </w:divBdr>
    </w:div>
    <w:div w:id="909312315">
      <w:bodyDiv w:val="1"/>
      <w:marLeft w:val="0"/>
      <w:marRight w:val="0"/>
      <w:marTop w:val="0"/>
      <w:marBottom w:val="0"/>
      <w:divBdr>
        <w:top w:val="none" w:sz="0" w:space="0" w:color="auto"/>
        <w:left w:val="none" w:sz="0" w:space="0" w:color="auto"/>
        <w:bottom w:val="none" w:sz="0" w:space="0" w:color="auto"/>
        <w:right w:val="none" w:sz="0" w:space="0" w:color="auto"/>
      </w:divBdr>
    </w:div>
    <w:div w:id="915171643">
      <w:bodyDiv w:val="1"/>
      <w:marLeft w:val="0"/>
      <w:marRight w:val="0"/>
      <w:marTop w:val="0"/>
      <w:marBottom w:val="0"/>
      <w:divBdr>
        <w:top w:val="none" w:sz="0" w:space="0" w:color="auto"/>
        <w:left w:val="none" w:sz="0" w:space="0" w:color="auto"/>
        <w:bottom w:val="none" w:sz="0" w:space="0" w:color="auto"/>
        <w:right w:val="none" w:sz="0" w:space="0" w:color="auto"/>
      </w:divBdr>
    </w:div>
    <w:div w:id="943147797">
      <w:bodyDiv w:val="1"/>
      <w:marLeft w:val="0"/>
      <w:marRight w:val="0"/>
      <w:marTop w:val="0"/>
      <w:marBottom w:val="0"/>
      <w:divBdr>
        <w:top w:val="none" w:sz="0" w:space="0" w:color="auto"/>
        <w:left w:val="none" w:sz="0" w:space="0" w:color="auto"/>
        <w:bottom w:val="none" w:sz="0" w:space="0" w:color="auto"/>
        <w:right w:val="none" w:sz="0" w:space="0" w:color="auto"/>
      </w:divBdr>
    </w:div>
    <w:div w:id="984504434">
      <w:bodyDiv w:val="1"/>
      <w:marLeft w:val="0"/>
      <w:marRight w:val="0"/>
      <w:marTop w:val="0"/>
      <w:marBottom w:val="0"/>
      <w:divBdr>
        <w:top w:val="none" w:sz="0" w:space="0" w:color="auto"/>
        <w:left w:val="none" w:sz="0" w:space="0" w:color="auto"/>
        <w:bottom w:val="none" w:sz="0" w:space="0" w:color="auto"/>
        <w:right w:val="none" w:sz="0" w:space="0" w:color="auto"/>
      </w:divBdr>
    </w:div>
    <w:div w:id="991255440">
      <w:bodyDiv w:val="1"/>
      <w:marLeft w:val="0"/>
      <w:marRight w:val="0"/>
      <w:marTop w:val="0"/>
      <w:marBottom w:val="0"/>
      <w:divBdr>
        <w:top w:val="none" w:sz="0" w:space="0" w:color="auto"/>
        <w:left w:val="none" w:sz="0" w:space="0" w:color="auto"/>
        <w:bottom w:val="none" w:sz="0" w:space="0" w:color="auto"/>
        <w:right w:val="none" w:sz="0" w:space="0" w:color="auto"/>
      </w:divBdr>
    </w:div>
    <w:div w:id="1110706086">
      <w:bodyDiv w:val="1"/>
      <w:marLeft w:val="0"/>
      <w:marRight w:val="0"/>
      <w:marTop w:val="0"/>
      <w:marBottom w:val="0"/>
      <w:divBdr>
        <w:top w:val="none" w:sz="0" w:space="0" w:color="auto"/>
        <w:left w:val="none" w:sz="0" w:space="0" w:color="auto"/>
        <w:bottom w:val="none" w:sz="0" w:space="0" w:color="auto"/>
        <w:right w:val="none" w:sz="0" w:space="0" w:color="auto"/>
      </w:divBdr>
    </w:div>
    <w:div w:id="1132216711">
      <w:bodyDiv w:val="1"/>
      <w:marLeft w:val="0"/>
      <w:marRight w:val="0"/>
      <w:marTop w:val="0"/>
      <w:marBottom w:val="0"/>
      <w:divBdr>
        <w:top w:val="none" w:sz="0" w:space="0" w:color="auto"/>
        <w:left w:val="none" w:sz="0" w:space="0" w:color="auto"/>
        <w:bottom w:val="none" w:sz="0" w:space="0" w:color="auto"/>
        <w:right w:val="none" w:sz="0" w:space="0" w:color="auto"/>
      </w:divBdr>
    </w:div>
    <w:div w:id="1196819071">
      <w:bodyDiv w:val="1"/>
      <w:marLeft w:val="0"/>
      <w:marRight w:val="0"/>
      <w:marTop w:val="0"/>
      <w:marBottom w:val="0"/>
      <w:divBdr>
        <w:top w:val="none" w:sz="0" w:space="0" w:color="auto"/>
        <w:left w:val="none" w:sz="0" w:space="0" w:color="auto"/>
        <w:bottom w:val="none" w:sz="0" w:space="0" w:color="auto"/>
        <w:right w:val="none" w:sz="0" w:space="0" w:color="auto"/>
      </w:divBdr>
    </w:div>
    <w:div w:id="1206454414">
      <w:bodyDiv w:val="1"/>
      <w:marLeft w:val="0"/>
      <w:marRight w:val="0"/>
      <w:marTop w:val="0"/>
      <w:marBottom w:val="0"/>
      <w:divBdr>
        <w:top w:val="none" w:sz="0" w:space="0" w:color="auto"/>
        <w:left w:val="none" w:sz="0" w:space="0" w:color="auto"/>
        <w:bottom w:val="none" w:sz="0" w:space="0" w:color="auto"/>
        <w:right w:val="none" w:sz="0" w:space="0" w:color="auto"/>
      </w:divBdr>
      <w:divsChild>
        <w:div w:id="529882881">
          <w:marLeft w:val="0"/>
          <w:marRight w:val="0"/>
          <w:marTop w:val="0"/>
          <w:marBottom w:val="0"/>
          <w:divBdr>
            <w:top w:val="single" w:sz="2" w:space="0" w:color="E5E7EB"/>
            <w:left w:val="single" w:sz="2" w:space="0" w:color="E5E7EB"/>
            <w:bottom w:val="single" w:sz="2" w:space="0" w:color="E5E7EB"/>
            <w:right w:val="single" w:sz="2" w:space="0" w:color="E5E7EB"/>
          </w:divBdr>
          <w:divsChild>
            <w:div w:id="1199851629">
              <w:marLeft w:val="0"/>
              <w:marRight w:val="0"/>
              <w:marTop w:val="0"/>
              <w:marBottom w:val="0"/>
              <w:divBdr>
                <w:top w:val="none" w:sz="0" w:space="0" w:color="auto"/>
                <w:left w:val="none" w:sz="0" w:space="0" w:color="auto"/>
                <w:bottom w:val="none" w:sz="0" w:space="0" w:color="auto"/>
                <w:right w:val="none" w:sz="0" w:space="0" w:color="auto"/>
              </w:divBdr>
              <w:divsChild>
                <w:div w:id="200896626">
                  <w:marLeft w:val="0"/>
                  <w:marRight w:val="0"/>
                  <w:marTop w:val="0"/>
                  <w:marBottom w:val="0"/>
                  <w:divBdr>
                    <w:top w:val="none" w:sz="0" w:space="0" w:color="auto"/>
                    <w:left w:val="none" w:sz="0" w:space="0" w:color="auto"/>
                    <w:bottom w:val="none" w:sz="0" w:space="0" w:color="auto"/>
                    <w:right w:val="none" w:sz="0" w:space="0" w:color="auto"/>
                  </w:divBdr>
                  <w:divsChild>
                    <w:div w:id="171458168">
                      <w:marLeft w:val="0"/>
                      <w:marRight w:val="0"/>
                      <w:marTop w:val="0"/>
                      <w:marBottom w:val="0"/>
                      <w:divBdr>
                        <w:top w:val="single" w:sz="2" w:space="0" w:color="E5E7EB"/>
                        <w:left w:val="single" w:sz="2" w:space="0" w:color="E5E7EB"/>
                        <w:bottom w:val="single" w:sz="2" w:space="0" w:color="E5E7EB"/>
                        <w:right w:val="single" w:sz="2" w:space="0" w:color="E5E7EB"/>
                      </w:divBdr>
                      <w:divsChild>
                        <w:div w:id="2128234631">
                          <w:marLeft w:val="0"/>
                          <w:marRight w:val="0"/>
                          <w:marTop w:val="0"/>
                          <w:marBottom w:val="0"/>
                          <w:divBdr>
                            <w:top w:val="single" w:sz="2" w:space="0" w:color="E5E7EB"/>
                            <w:left w:val="single" w:sz="2" w:space="0" w:color="E5E7EB"/>
                            <w:bottom w:val="single" w:sz="2" w:space="0" w:color="E5E7EB"/>
                            <w:right w:val="single" w:sz="2" w:space="0" w:color="E5E7EB"/>
                          </w:divBdr>
                          <w:divsChild>
                            <w:div w:id="2006545559">
                              <w:marLeft w:val="0"/>
                              <w:marRight w:val="0"/>
                              <w:marTop w:val="0"/>
                              <w:marBottom w:val="0"/>
                              <w:divBdr>
                                <w:top w:val="single" w:sz="2" w:space="0" w:color="E5E7EB"/>
                                <w:left w:val="single" w:sz="2" w:space="0" w:color="E5E7EB"/>
                                <w:bottom w:val="single" w:sz="2" w:space="0" w:color="E5E7EB"/>
                                <w:right w:val="single" w:sz="2" w:space="0" w:color="E5E7EB"/>
                              </w:divBdr>
                              <w:divsChild>
                                <w:div w:id="1526597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83169742">
                  <w:marLeft w:val="0"/>
                  <w:marRight w:val="0"/>
                  <w:marTop w:val="120"/>
                  <w:marBottom w:val="0"/>
                  <w:divBdr>
                    <w:top w:val="none" w:sz="0" w:space="0" w:color="auto"/>
                    <w:left w:val="none" w:sz="0" w:space="0" w:color="auto"/>
                    <w:bottom w:val="none" w:sz="0" w:space="0" w:color="auto"/>
                    <w:right w:val="none" w:sz="0" w:space="0" w:color="auto"/>
                  </w:divBdr>
                  <w:divsChild>
                    <w:div w:id="93526343">
                      <w:marLeft w:val="-120"/>
                      <w:marRight w:val="0"/>
                      <w:marTop w:val="0"/>
                      <w:marBottom w:val="0"/>
                      <w:divBdr>
                        <w:top w:val="single" w:sz="2" w:space="0" w:color="E5E7EB"/>
                        <w:left w:val="single" w:sz="2" w:space="0" w:color="E5E7EB"/>
                        <w:bottom w:val="single" w:sz="2" w:space="0" w:color="E5E7EB"/>
                        <w:right w:val="single" w:sz="2" w:space="0" w:color="E5E7EB"/>
                      </w:divBdr>
                      <w:divsChild>
                        <w:div w:id="314140839">
                          <w:marLeft w:val="0"/>
                          <w:marRight w:val="0"/>
                          <w:marTop w:val="0"/>
                          <w:marBottom w:val="0"/>
                          <w:divBdr>
                            <w:top w:val="single" w:sz="2" w:space="0" w:color="E5E7EB"/>
                            <w:left w:val="single" w:sz="2" w:space="0" w:color="E5E7EB"/>
                            <w:bottom w:val="single" w:sz="2" w:space="0" w:color="E5E7EB"/>
                            <w:right w:val="single" w:sz="2" w:space="0" w:color="E5E7EB"/>
                          </w:divBdr>
                          <w:divsChild>
                            <w:div w:id="20376119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7582715">
                          <w:marLeft w:val="0"/>
                          <w:marRight w:val="0"/>
                          <w:marTop w:val="0"/>
                          <w:marBottom w:val="0"/>
                          <w:divBdr>
                            <w:top w:val="single" w:sz="2" w:space="0" w:color="E5E7EB"/>
                            <w:left w:val="single" w:sz="2" w:space="0" w:color="E5E7EB"/>
                            <w:bottom w:val="single" w:sz="2" w:space="0" w:color="E5E7EB"/>
                            <w:right w:val="single" w:sz="2" w:space="0" w:color="E5E7EB"/>
                          </w:divBdr>
                          <w:divsChild>
                            <w:div w:id="1871723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245532996">
      <w:bodyDiv w:val="1"/>
      <w:marLeft w:val="0"/>
      <w:marRight w:val="0"/>
      <w:marTop w:val="0"/>
      <w:marBottom w:val="0"/>
      <w:divBdr>
        <w:top w:val="none" w:sz="0" w:space="0" w:color="auto"/>
        <w:left w:val="none" w:sz="0" w:space="0" w:color="auto"/>
        <w:bottom w:val="none" w:sz="0" w:space="0" w:color="auto"/>
        <w:right w:val="none" w:sz="0" w:space="0" w:color="auto"/>
      </w:divBdr>
    </w:div>
    <w:div w:id="1253667116">
      <w:bodyDiv w:val="1"/>
      <w:marLeft w:val="0"/>
      <w:marRight w:val="0"/>
      <w:marTop w:val="0"/>
      <w:marBottom w:val="0"/>
      <w:divBdr>
        <w:top w:val="none" w:sz="0" w:space="0" w:color="auto"/>
        <w:left w:val="none" w:sz="0" w:space="0" w:color="auto"/>
        <w:bottom w:val="none" w:sz="0" w:space="0" w:color="auto"/>
        <w:right w:val="none" w:sz="0" w:space="0" w:color="auto"/>
      </w:divBdr>
    </w:div>
    <w:div w:id="1254120034">
      <w:bodyDiv w:val="1"/>
      <w:marLeft w:val="0"/>
      <w:marRight w:val="0"/>
      <w:marTop w:val="0"/>
      <w:marBottom w:val="0"/>
      <w:divBdr>
        <w:top w:val="none" w:sz="0" w:space="0" w:color="auto"/>
        <w:left w:val="none" w:sz="0" w:space="0" w:color="auto"/>
        <w:bottom w:val="none" w:sz="0" w:space="0" w:color="auto"/>
        <w:right w:val="none" w:sz="0" w:space="0" w:color="auto"/>
      </w:divBdr>
      <w:divsChild>
        <w:div w:id="1639920911">
          <w:marLeft w:val="0"/>
          <w:marRight w:val="0"/>
          <w:marTop w:val="0"/>
          <w:marBottom w:val="0"/>
          <w:divBdr>
            <w:top w:val="single" w:sz="2" w:space="0" w:color="E5E7EB"/>
            <w:left w:val="single" w:sz="2" w:space="0" w:color="E5E7EB"/>
            <w:bottom w:val="single" w:sz="2" w:space="0" w:color="E5E7EB"/>
            <w:right w:val="single" w:sz="2" w:space="0" w:color="E5E7EB"/>
          </w:divBdr>
          <w:divsChild>
            <w:div w:id="1580480288">
              <w:marLeft w:val="0"/>
              <w:marRight w:val="0"/>
              <w:marTop w:val="0"/>
              <w:marBottom w:val="0"/>
              <w:divBdr>
                <w:top w:val="none" w:sz="0" w:space="0" w:color="auto"/>
                <w:left w:val="none" w:sz="0" w:space="0" w:color="auto"/>
                <w:bottom w:val="none" w:sz="0" w:space="0" w:color="auto"/>
                <w:right w:val="none" w:sz="0" w:space="0" w:color="auto"/>
              </w:divBdr>
              <w:divsChild>
                <w:div w:id="1234774011">
                  <w:marLeft w:val="0"/>
                  <w:marRight w:val="0"/>
                  <w:marTop w:val="120"/>
                  <w:marBottom w:val="0"/>
                  <w:divBdr>
                    <w:top w:val="none" w:sz="0" w:space="0" w:color="auto"/>
                    <w:left w:val="none" w:sz="0" w:space="0" w:color="auto"/>
                    <w:bottom w:val="none" w:sz="0" w:space="0" w:color="auto"/>
                    <w:right w:val="none" w:sz="0" w:space="0" w:color="auto"/>
                  </w:divBdr>
                  <w:divsChild>
                    <w:div w:id="1755468644">
                      <w:marLeft w:val="-120"/>
                      <w:marRight w:val="0"/>
                      <w:marTop w:val="0"/>
                      <w:marBottom w:val="0"/>
                      <w:divBdr>
                        <w:top w:val="single" w:sz="2" w:space="0" w:color="E5E7EB"/>
                        <w:left w:val="single" w:sz="2" w:space="0" w:color="E5E7EB"/>
                        <w:bottom w:val="single" w:sz="2" w:space="0" w:color="E5E7EB"/>
                        <w:right w:val="single" w:sz="2" w:space="0" w:color="E5E7EB"/>
                      </w:divBdr>
                      <w:divsChild>
                        <w:div w:id="1284459555">
                          <w:marLeft w:val="0"/>
                          <w:marRight w:val="0"/>
                          <w:marTop w:val="0"/>
                          <w:marBottom w:val="0"/>
                          <w:divBdr>
                            <w:top w:val="single" w:sz="2" w:space="0" w:color="E5E7EB"/>
                            <w:left w:val="single" w:sz="2" w:space="0" w:color="E5E7EB"/>
                            <w:bottom w:val="single" w:sz="2" w:space="0" w:color="E5E7EB"/>
                            <w:right w:val="single" w:sz="2" w:space="0" w:color="E5E7EB"/>
                          </w:divBdr>
                          <w:divsChild>
                            <w:div w:id="6714910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4513347">
                          <w:marLeft w:val="0"/>
                          <w:marRight w:val="0"/>
                          <w:marTop w:val="0"/>
                          <w:marBottom w:val="0"/>
                          <w:divBdr>
                            <w:top w:val="single" w:sz="2" w:space="0" w:color="E5E7EB"/>
                            <w:left w:val="single" w:sz="2" w:space="0" w:color="E5E7EB"/>
                            <w:bottom w:val="single" w:sz="2" w:space="0" w:color="E5E7EB"/>
                            <w:right w:val="single" w:sz="2" w:space="0" w:color="E5E7EB"/>
                          </w:divBdr>
                          <w:divsChild>
                            <w:div w:id="179340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22887763">
                  <w:marLeft w:val="0"/>
                  <w:marRight w:val="0"/>
                  <w:marTop w:val="0"/>
                  <w:marBottom w:val="0"/>
                  <w:divBdr>
                    <w:top w:val="none" w:sz="0" w:space="0" w:color="auto"/>
                    <w:left w:val="none" w:sz="0" w:space="0" w:color="auto"/>
                    <w:bottom w:val="none" w:sz="0" w:space="0" w:color="auto"/>
                    <w:right w:val="none" w:sz="0" w:space="0" w:color="auto"/>
                  </w:divBdr>
                  <w:divsChild>
                    <w:div w:id="336930084">
                      <w:marLeft w:val="0"/>
                      <w:marRight w:val="0"/>
                      <w:marTop w:val="0"/>
                      <w:marBottom w:val="0"/>
                      <w:divBdr>
                        <w:top w:val="single" w:sz="2" w:space="0" w:color="E5E7EB"/>
                        <w:left w:val="single" w:sz="2" w:space="0" w:color="E5E7EB"/>
                        <w:bottom w:val="single" w:sz="2" w:space="0" w:color="E5E7EB"/>
                        <w:right w:val="single" w:sz="2" w:space="0" w:color="E5E7EB"/>
                      </w:divBdr>
                      <w:divsChild>
                        <w:div w:id="513307243">
                          <w:marLeft w:val="0"/>
                          <w:marRight w:val="0"/>
                          <w:marTop w:val="0"/>
                          <w:marBottom w:val="0"/>
                          <w:divBdr>
                            <w:top w:val="single" w:sz="2" w:space="0" w:color="E5E7EB"/>
                            <w:left w:val="single" w:sz="2" w:space="0" w:color="E5E7EB"/>
                            <w:bottom w:val="single" w:sz="2" w:space="0" w:color="E5E7EB"/>
                            <w:right w:val="single" w:sz="2" w:space="0" w:color="E5E7EB"/>
                          </w:divBdr>
                          <w:divsChild>
                            <w:div w:id="1914927216">
                              <w:marLeft w:val="0"/>
                              <w:marRight w:val="0"/>
                              <w:marTop w:val="0"/>
                              <w:marBottom w:val="0"/>
                              <w:divBdr>
                                <w:top w:val="single" w:sz="2" w:space="0" w:color="E5E7EB"/>
                                <w:left w:val="single" w:sz="2" w:space="0" w:color="E5E7EB"/>
                                <w:bottom w:val="single" w:sz="2" w:space="0" w:color="E5E7EB"/>
                                <w:right w:val="single" w:sz="2" w:space="0" w:color="E5E7EB"/>
                              </w:divBdr>
                              <w:divsChild>
                                <w:div w:id="4794225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267233120">
      <w:bodyDiv w:val="1"/>
      <w:marLeft w:val="0"/>
      <w:marRight w:val="0"/>
      <w:marTop w:val="0"/>
      <w:marBottom w:val="0"/>
      <w:divBdr>
        <w:top w:val="none" w:sz="0" w:space="0" w:color="auto"/>
        <w:left w:val="none" w:sz="0" w:space="0" w:color="auto"/>
        <w:bottom w:val="none" w:sz="0" w:space="0" w:color="auto"/>
        <w:right w:val="none" w:sz="0" w:space="0" w:color="auto"/>
      </w:divBdr>
    </w:div>
    <w:div w:id="1286159379">
      <w:bodyDiv w:val="1"/>
      <w:marLeft w:val="0"/>
      <w:marRight w:val="0"/>
      <w:marTop w:val="0"/>
      <w:marBottom w:val="0"/>
      <w:divBdr>
        <w:top w:val="none" w:sz="0" w:space="0" w:color="auto"/>
        <w:left w:val="none" w:sz="0" w:space="0" w:color="auto"/>
        <w:bottom w:val="none" w:sz="0" w:space="0" w:color="auto"/>
        <w:right w:val="none" w:sz="0" w:space="0" w:color="auto"/>
      </w:divBdr>
    </w:div>
    <w:div w:id="1318070637">
      <w:bodyDiv w:val="1"/>
      <w:marLeft w:val="0"/>
      <w:marRight w:val="0"/>
      <w:marTop w:val="0"/>
      <w:marBottom w:val="0"/>
      <w:divBdr>
        <w:top w:val="none" w:sz="0" w:space="0" w:color="auto"/>
        <w:left w:val="none" w:sz="0" w:space="0" w:color="auto"/>
        <w:bottom w:val="none" w:sz="0" w:space="0" w:color="auto"/>
        <w:right w:val="none" w:sz="0" w:space="0" w:color="auto"/>
      </w:divBdr>
    </w:div>
    <w:div w:id="1362970240">
      <w:bodyDiv w:val="1"/>
      <w:marLeft w:val="0"/>
      <w:marRight w:val="0"/>
      <w:marTop w:val="0"/>
      <w:marBottom w:val="0"/>
      <w:divBdr>
        <w:top w:val="none" w:sz="0" w:space="0" w:color="auto"/>
        <w:left w:val="none" w:sz="0" w:space="0" w:color="auto"/>
        <w:bottom w:val="none" w:sz="0" w:space="0" w:color="auto"/>
        <w:right w:val="none" w:sz="0" w:space="0" w:color="auto"/>
      </w:divBdr>
    </w:div>
    <w:div w:id="1424062839">
      <w:bodyDiv w:val="1"/>
      <w:marLeft w:val="0"/>
      <w:marRight w:val="0"/>
      <w:marTop w:val="0"/>
      <w:marBottom w:val="0"/>
      <w:divBdr>
        <w:top w:val="none" w:sz="0" w:space="0" w:color="auto"/>
        <w:left w:val="none" w:sz="0" w:space="0" w:color="auto"/>
        <w:bottom w:val="none" w:sz="0" w:space="0" w:color="auto"/>
        <w:right w:val="none" w:sz="0" w:space="0" w:color="auto"/>
      </w:divBdr>
    </w:div>
    <w:div w:id="1484854202">
      <w:bodyDiv w:val="1"/>
      <w:marLeft w:val="0"/>
      <w:marRight w:val="0"/>
      <w:marTop w:val="0"/>
      <w:marBottom w:val="0"/>
      <w:divBdr>
        <w:top w:val="none" w:sz="0" w:space="0" w:color="auto"/>
        <w:left w:val="none" w:sz="0" w:space="0" w:color="auto"/>
        <w:bottom w:val="none" w:sz="0" w:space="0" w:color="auto"/>
        <w:right w:val="none" w:sz="0" w:space="0" w:color="auto"/>
      </w:divBdr>
    </w:div>
    <w:div w:id="1501382736">
      <w:bodyDiv w:val="1"/>
      <w:marLeft w:val="0"/>
      <w:marRight w:val="0"/>
      <w:marTop w:val="0"/>
      <w:marBottom w:val="0"/>
      <w:divBdr>
        <w:top w:val="none" w:sz="0" w:space="0" w:color="auto"/>
        <w:left w:val="none" w:sz="0" w:space="0" w:color="auto"/>
        <w:bottom w:val="none" w:sz="0" w:space="0" w:color="auto"/>
        <w:right w:val="none" w:sz="0" w:space="0" w:color="auto"/>
      </w:divBdr>
    </w:div>
    <w:div w:id="1531719021">
      <w:bodyDiv w:val="1"/>
      <w:marLeft w:val="0"/>
      <w:marRight w:val="0"/>
      <w:marTop w:val="0"/>
      <w:marBottom w:val="0"/>
      <w:divBdr>
        <w:top w:val="none" w:sz="0" w:space="0" w:color="auto"/>
        <w:left w:val="none" w:sz="0" w:space="0" w:color="auto"/>
        <w:bottom w:val="none" w:sz="0" w:space="0" w:color="auto"/>
        <w:right w:val="none" w:sz="0" w:space="0" w:color="auto"/>
      </w:divBdr>
    </w:div>
    <w:div w:id="1567103171">
      <w:bodyDiv w:val="1"/>
      <w:marLeft w:val="0"/>
      <w:marRight w:val="0"/>
      <w:marTop w:val="0"/>
      <w:marBottom w:val="0"/>
      <w:divBdr>
        <w:top w:val="none" w:sz="0" w:space="0" w:color="auto"/>
        <w:left w:val="none" w:sz="0" w:space="0" w:color="auto"/>
        <w:bottom w:val="none" w:sz="0" w:space="0" w:color="auto"/>
        <w:right w:val="none" w:sz="0" w:space="0" w:color="auto"/>
      </w:divBdr>
    </w:div>
    <w:div w:id="1593120812">
      <w:bodyDiv w:val="1"/>
      <w:marLeft w:val="0"/>
      <w:marRight w:val="0"/>
      <w:marTop w:val="0"/>
      <w:marBottom w:val="0"/>
      <w:divBdr>
        <w:top w:val="none" w:sz="0" w:space="0" w:color="auto"/>
        <w:left w:val="none" w:sz="0" w:space="0" w:color="auto"/>
        <w:bottom w:val="none" w:sz="0" w:space="0" w:color="auto"/>
        <w:right w:val="none" w:sz="0" w:space="0" w:color="auto"/>
      </w:divBdr>
    </w:div>
    <w:div w:id="1622958543">
      <w:bodyDiv w:val="1"/>
      <w:marLeft w:val="0"/>
      <w:marRight w:val="0"/>
      <w:marTop w:val="0"/>
      <w:marBottom w:val="0"/>
      <w:divBdr>
        <w:top w:val="none" w:sz="0" w:space="0" w:color="auto"/>
        <w:left w:val="none" w:sz="0" w:space="0" w:color="auto"/>
        <w:bottom w:val="none" w:sz="0" w:space="0" w:color="auto"/>
        <w:right w:val="none" w:sz="0" w:space="0" w:color="auto"/>
      </w:divBdr>
    </w:div>
    <w:div w:id="1636568887">
      <w:bodyDiv w:val="1"/>
      <w:marLeft w:val="0"/>
      <w:marRight w:val="0"/>
      <w:marTop w:val="0"/>
      <w:marBottom w:val="0"/>
      <w:divBdr>
        <w:top w:val="none" w:sz="0" w:space="0" w:color="auto"/>
        <w:left w:val="none" w:sz="0" w:space="0" w:color="auto"/>
        <w:bottom w:val="none" w:sz="0" w:space="0" w:color="auto"/>
        <w:right w:val="none" w:sz="0" w:space="0" w:color="auto"/>
      </w:divBdr>
    </w:div>
    <w:div w:id="1642347019">
      <w:bodyDiv w:val="1"/>
      <w:marLeft w:val="0"/>
      <w:marRight w:val="0"/>
      <w:marTop w:val="0"/>
      <w:marBottom w:val="0"/>
      <w:divBdr>
        <w:top w:val="none" w:sz="0" w:space="0" w:color="auto"/>
        <w:left w:val="none" w:sz="0" w:space="0" w:color="auto"/>
        <w:bottom w:val="none" w:sz="0" w:space="0" w:color="auto"/>
        <w:right w:val="none" w:sz="0" w:space="0" w:color="auto"/>
      </w:divBdr>
    </w:div>
    <w:div w:id="1653098426">
      <w:bodyDiv w:val="1"/>
      <w:marLeft w:val="0"/>
      <w:marRight w:val="0"/>
      <w:marTop w:val="0"/>
      <w:marBottom w:val="0"/>
      <w:divBdr>
        <w:top w:val="none" w:sz="0" w:space="0" w:color="auto"/>
        <w:left w:val="none" w:sz="0" w:space="0" w:color="auto"/>
        <w:bottom w:val="none" w:sz="0" w:space="0" w:color="auto"/>
        <w:right w:val="none" w:sz="0" w:space="0" w:color="auto"/>
      </w:divBdr>
    </w:div>
    <w:div w:id="1670596528">
      <w:bodyDiv w:val="1"/>
      <w:marLeft w:val="0"/>
      <w:marRight w:val="0"/>
      <w:marTop w:val="0"/>
      <w:marBottom w:val="0"/>
      <w:divBdr>
        <w:top w:val="none" w:sz="0" w:space="0" w:color="auto"/>
        <w:left w:val="none" w:sz="0" w:space="0" w:color="auto"/>
        <w:bottom w:val="none" w:sz="0" w:space="0" w:color="auto"/>
        <w:right w:val="none" w:sz="0" w:space="0" w:color="auto"/>
      </w:divBdr>
    </w:div>
    <w:div w:id="1713770994">
      <w:bodyDiv w:val="1"/>
      <w:marLeft w:val="0"/>
      <w:marRight w:val="0"/>
      <w:marTop w:val="0"/>
      <w:marBottom w:val="0"/>
      <w:divBdr>
        <w:top w:val="none" w:sz="0" w:space="0" w:color="auto"/>
        <w:left w:val="none" w:sz="0" w:space="0" w:color="auto"/>
        <w:bottom w:val="none" w:sz="0" w:space="0" w:color="auto"/>
        <w:right w:val="none" w:sz="0" w:space="0" w:color="auto"/>
      </w:divBdr>
    </w:div>
    <w:div w:id="1758399245">
      <w:bodyDiv w:val="1"/>
      <w:marLeft w:val="0"/>
      <w:marRight w:val="0"/>
      <w:marTop w:val="0"/>
      <w:marBottom w:val="0"/>
      <w:divBdr>
        <w:top w:val="none" w:sz="0" w:space="0" w:color="auto"/>
        <w:left w:val="none" w:sz="0" w:space="0" w:color="auto"/>
        <w:bottom w:val="none" w:sz="0" w:space="0" w:color="auto"/>
        <w:right w:val="none" w:sz="0" w:space="0" w:color="auto"/>
      </w:divBdr>
    </w:div>
    <w:div w:id="1800804855">
      <w:bodyDiv w:val="1"/>
      <w:marLeft w:val="0"/>
      <w:marRight w:val="0"/>
      <w:marTop w:val="0"/>
      <w:marBottom w:val="0"/>
      <w:divBdr>
        <w:top w:val="none" w:sz="0" w:space="0" w:color="auto"/>
        <w:left w:val="none" w:sz="0" w:space="0" w:color="auto"/>
        <w:bottom w:val="none" w:sz="0" w:space="0" w:color="auto"/>
        <w:right w:val="none" w:sz="0" w:space="0" w:color="auto"/>
      </w:divBdr>
    </w:div>
    <w:div w:id="1806006879">
      <w:bodyDiv w:val="1"/>
      <w:marLeft w:val="0"/>
      <w:marRight w:val="0"/>
      <w:marTop w:val="0"/>
      <w:marBottom w:val="0"/>
      <w:divBdr>
        <w:top w:val="none" w:sz="0" w:space="0" w:color="auto"/>
        <w:left w:val="none" w:sz="0" w:space="0" w:color="auto"/>
        <w:bottom w:val="none" w:sz="0" w:space="0" w:color="auto"/>
        <w:right w:val="none" w:sz="0" w:space="0" w:color="auto"/>
      </w:divBdr>
    </w:div>
    <w:div w:id="1812283055">
      <w:bodyDiv w:val="1"/>
      <w:marLeft w:val="0"/>
      <w:marRight w:val="0"/>
      <w:marTop w:val="0"/>
      <w:marBottom w:val="0"/>
      <w:divBdr>
        <w:top w:val="none" w:sz="0" w:space="0" w:color="auto"/>
        <w:left w:val="none" w:sz="0" w:space="0" w:color="auto"/>
        <w:bottom w:val="none" w:sz="0" w:space="0" w:color="auto"/>
        <w:right w:val="none" w:sz="0" w:space="0" w:color="auto"/>
      </w:divBdr>
    </w:div>
    <w:div w:id="1822235361">
      <w:bodyDiv w:val="1"/>
      <w:marLeft w:val="0"/>
      <w:marRight w:val="0"/>
      <w:marTop w:val="0"/>
      <w:marBottom w:val="0"/>
      <w:divBdr>
        <w:top w:val="none" w:sz="0" w:space="0" w:color="auto"/>
        <w:left w:val="none" w:sz="0" w:space="0" w:color="auto"/>
        <w:bottom w:val="none" w:sz="0" w:space="0" w:color="auto"/>
        <w:right w:val="none" w:sz="0" w:space="0" w:color="auto"/>
      </w:divBdr>
      <w:divsChild>
        <w:div w:id="1626809431">
          <w:marLeft w:val="0"/>
          <w:marRight w:val="0"/>
          <w:marTop w:val="0"/>
          <w:marBottom w:val="0"/>
          <w:divBdr>
            <w:top w:val="single" w:sz="2" w:space="0" w:color="E5E7EB"/>
            <w:left w:val="single" w:sz="2" w:space="0" w:color="E5E7EB"/>
            <w:bottom w:val="single" w:sz="2" w:space="0" w:color="E5E7EB"/>
            <w:right w:val="single" w:sz="2" w:space="0" w:color="E5E7EB"/>
          </w:divBdr>
          <w:divsChild>
            <w:div w:id="618532817">
              <w:marLeft w:val="0"/>
              <w:marRight w:val="0"/>
              <w:marTop w:val="0"/>
              <w:marBottom w:val="0"/>
              <w:divBdr>
                <w:top w:val="none" w:sz="0" w:space="0" w:color="auto"/>
                <w:left w:val="none" w:sz="0" w:space="0" w:color="auto"/>
                <w:bottom w:val="none" w:sz="0" w:space="0" w:color="auto"/>
                <w:right w:val="none" w:sz="0" w:space="0" w:color="auto"/>
              </w:divBdr>
              <w:divsChild>
                <w:div w:id="156697703">
                  <w:marLeft w:val="0"/>
                  <w:marRight w:val="0"/>
                  <w:marTop w:val="0"/>
                  <w:marBottom w:val="0"/>
                  <w:divBdr>
                    <w:top w:val="none" w:sz="0" w:space="0" w:color="auto"/>
                    <w:left w:val="none" w:sz="0" w:space="0" w:color="auto"/>
                    <w:bottom w:val="none" w:sz="0" w:space="0" w:color="auto"/>
                    <w:right w:val="none" w:sz="0" w:space="0" w:color="auto"/>
                  </w:divBdr>
                  <w:divsChild>
                    <w:div w:id="1231502617">
                      <w:marLeft w:val="0"/>
                      <w:marRight w:val="0"/>
                      <w:marTop w:val="0"/>
                      <w:marBottom w:val="0"/>
                      <w:divBdr>
                        <w:top w:val="single" w:sz="2" w:space="0" w:color="E5E7EB"/>
                        <w:left w:val="single" w:sz="2" w:space="0" w:color="E5E7EB"/>
                        <w:bottom w:val="single" w:sz="2" w:space="0" w:color="E5E7EB"/>
                        <w:right w:val="single" w:sz="2" w:space="0" w:color="E5E7EB"/>
                      </w:divBdr>
                      <w:divsChild>
                        <w:div w:id="749273627">
                          <w:marLeft w:val="0"/>
                          <w:marRight w:val="0"/>
                          <w:marTop w:val="0"/>
                          <w:marBottom w:val="0"/>
                          <w:divBdr>
                            <w:top w:val="single" w:sz="2" w:space="0" w:color="E5E7EB"/>
                            <w:left w:val="single" w:sz="2" w:space="0" w:color="E5E7EB"/>
                            <w:bottom w:val="single" w:sz="2" w:space="0" w:color="E5E7EB"/>
                            <w:right w:val="single" w:sz="2" w:space="0" w:color="E5E7EB"/>
                          </w:divBdr>
                          <w:divsChild>
                            <w:div w:id="904871551">
                              <w:marLeft w:val="0"/>
                              <w:marRight w:val="0"/>
                              <w:marTop w:val="0"/>
                              <w:marBottom w:val="0"/>
                              <w:divBdr>
                                <w:top w:val="single" w:sz="2" w:space="0" w:color="E5E7EB"/>
                                <w:left w:val="single" w:sz="2" w:space="0" w:color="E5E7EB"/>
                                <w:bottom w:val="single" w:sz="2" w:space="0" w:color="E5E7EB"/>
                                <w:right w:val="single" w:sz="2" w:space="0" w:color="E5E7EB"/>
                              </w:divBdr>
                              <w:divsChild>
                                <w:div w:id="15070907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5098557">
                  <w:marLeft w:val="0"/>
                  <w:marRight w:val="0"/>
                  <w:marTop w:val="120"/>
                  <w:marBottom w:val="0"/>
                  <w:divBdr>
                    <w:top w:val="none" w:sz="0" w:space="0" w:color="auto"/>
                    <w:left w:val="none" w:sz="0" w:space="0" w:color="auto"/>
                    <w:bottom w:val="none" w:sz="0" w:space="0" w:color="auto"/>
                    <w:right w:val="none" w:sz="0" w:space="0" w:color="auto"/>
                  </w:divBdr>
                  <w:divsChild>
                    <w:div w:id="2118402436">
                      <w:marLeft w:val="-120"/>
                      <w:marRight w:val="0"/>
                      <w:marTop w:val="0"/>
                      <w:marBottom w:val="0"/>
                      <w:divBdr>
                        <w:top w:val="single" w:sz="2" w:space="0" w:color="E5E7EB"/>
                        <w:left w:val="single" w:sz="2" w:space="0" w:color="E5E7EB"/>
                        <w:bottom w:val="single" w:sz="2" w:space="0" w:color="E5E7EB"/>
                        <w:right w:val="single" w:sz="2" w:space="0" w:color="E5E7EB"/>
                      </w:divBdr>
                      <w:divsChild>
                        <w:div w:id="659357786">
                          <w:marLeft w:val="0"/>
                          <w:marRight w:val="0"/>
                          <w:marTop w:val="0"/>
                          <w:marBottom w:val="0"/>
                          <w:divBdr>
                            <w:top w:val="single" w:sz="2" w:space="0" w:color="E5E7EB"/>
                            <w:left w:val="single" w:sz="2" w:space="0" w:color="E5E7EB"/>
                            <w:bottom w:val="single" w:sz="2" w:space="0" w:color="E5E7EB"/>
                            <w:right w:val="single" w:sz="2" w:space="0" w:color="E5E7EB"/>
                          </w:divBdr>
                          <w:divsChild>
                            <w:div w:id="7728674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6323985">
                          <w:marLeft w:val="0"/>
                          <w:marRight w:val="0"/>
                          <w:marTop w:val="0"/>
                          <w:marBottom w:val="0"/>
                          <w:divBdr>
                            <w:top w:val="single" w:sz="2" w:space="0" w:color="E5E7EB"/>
                            <w:left w:val="single" w:sz="2" w:space="0" w:color="E5E7EB"/>
                            <w:bottom w:val="single" w:sz="2" w:space="0" w:color="E5E7EB"/>
                            <w:right w:val="single" w:sz="2" w:space="0" w:color="E5E7EB"/>
                          </w:divBdr>
                          <w:divsChild>
                            <w:div w:id="15927421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828592866">
      <w:bodyDiv w:val="1"/>
      <w:marLeft w:val="0"/>
      <w:marRight w:val="0"/>
      <w:marTop w:val="0"/>
      <w:marBottom w:val="0"/>
      <w:divBdr>
        <w:top w:val="none" w:sz="0" w:space="0" w:color="auto"/>
        <w:left w:val="none" w:sz="0" w:space="0" w:color="auto"/>
        <w:bottom w:val="none" w:sz="0" w:space="0" w:color="auto"/>
        <w:right w:val="none" w:sz="0" w:space="0" w:color="auto"/>
      </w:divBdr>
    </w:div>
    <w:div w:id="1840382618">
      <w:bodyDiv w:val="1"/>
      <w:marLeft w:val="0"/>
      <w:marRight w:val="0"/>
      <w:marTop w:val="0"/>
      <w:marBottom w:val="0"/>
      <w:divBdr>
        <w:top w:val="none" w:sz="0" w:space="0" w:color="auto"/>
        <w:left w:val="none" w:sz="0" w:space="0" w:color="auto"/>
        <w:bottom w:val="none" w:sz="0" w:space="0" w:color="auto"/>
        <w:right w:val="none" w:sz="0" w:space="0" w:color="auto"/>
      </w:divBdr>
    </w:div>
    <w:div w:id="1841579063">
      <w:bodyDiv w:val="1"/>
      <w:marLeft w:val="0"/>
      <w:marRight w:val="0"/>
      <w:marTop w:val="0"/>
      <w:marBottom w:val="0"/>
      <w:divBdr>
        <w:top w:val="none" w:sz="0" w:space="0" w:color="auto"/>
        <w:left w:val="none" w:sz="0" w:space="0" w:color="auto"/>
        <w:bottom w:val="none" w:sz="0" w:space="0" w:color="auto"/>
        <w:right w:val="none" w:sz="0" w:space="0" w:color="auto"/>
      </w:divBdr>
    </w:div>
    <w:div w:id="1880699944">
      <w:bodyDiv w:val="1"/>
      <w:marLeft w:val="0"/>
      <w:marRight w:val="0"/>
      <w:marTop w:val="0"/>
      <w:marBottom w:val="0"/>
      <w:divBdr>
        <w:top w:val="none" w:sz="0" w:space="0" w:color="auto"/>
        <w:left w:val="none" w:sz="0" w:space="0" w:color="auto"/>
        <w:bottom w:val="none" w:sz="0" w:space="0" w:color="auto"/>
        <w:right w:val="none" w:sz="0" w:space="0" w:color="auto"/>
      </w:divBdr>
    </w:div>
    <w:div w:id="1945459244">
      <w:bodyDiv w:val="1"/>
      <w:marLeft w:val="0"/>
      <w:marRight w:val="0"/>
      <w:marTop w:val="0"/>
      <w:marBottom w:val="0"/>
      <w:divBdr>
        <w:top w:val="none" w:sz="0" w:space="0" w:color="auto"/>
        <w:left w:val="none" w:sz="0" w:space="0" w:color="auto"/>
        <w:bottom w:val="none" w:sz="0" w:space="0" w:color="auto"/>
        <w:right w:val="none" w:sz="0" w:space="0" w:color="auto"/>
      </w:divBdr>
    </w:div>
    <w:div w:id="1960604638">
      <w:bodyDiv w:val="1"/>
      <w:marLeft w:val="0"/>
      <w:marRight w:val="0"/>
      <w:marTop w:val="0"/>
      <w:marBottom w:val="0"/>
      <w:divBdr>
        <w:top w:val="none" w:sz="0" w:space="0" w:color="auto"/>
        <w:left w:val="none" w:sz="0" w:space="0" w:color="auto"/>
        <w:bottom w:val="none" w:sz="0" w:space="0" w:color="auto"/>
        <w:right w:val="none" w:sz="0" w:space="0" w:color="auto"/>
      </w:divBdr>
    </w:div>
    <w:div w:id="1960792155">
      <w:bodyDiv w:val="1"/>
      <w:marLeft w:val="0"/>
      <w:marRight w:val="0"/>
      <w:marTop w:val="0"/>
      <w:marBottom w:val="0"/>
      <w:divBdr>
        <w:top w:val="none" w:sz="0" w:space="0" w:color="auto"/>
        <w:left w:val="none" w:sz="0" w:space="0" w:color="auto"/>
        <w:bottom w:val="none" w:sz="0" w:space="0" w:color="auto"/>
        <w:right w:val="none" w:sz="0" w:space="0" w:color="auto"/>
      </w:divBdr>
    </w:div>
    <w:div w:id="1961648061">
      <w:bodyDiv w:val="1"/>
      <w:marLeft w:val="0"/>
      <w:marRight w:val="0"/>
      <w:marTop w:val="0"/>
      <w:marBottom w:val="0"/>
      <w:divBdr>
        <w:top w:val="none" w:sz="0" w:space="0" w:color="auto"/>
        <w:left w:val="none" w:sz="0" w:space="0" w:color="auto"/>
        <w:bottom w:val="none" w:sz="0" w:space="0" w:color="auto"/>
        <w:right w:val="none" w:sz="0" w:space="0" w:color="auto"/>
      </w:divBdr>
    </w:div>
    <w:div w:id="1989700055">
      <w:bodyDiv w:val="1"/>
      <w:marLeft w:val="0"/>
      <w:marRight w:val="0"/>
      <w:marTop w:val="0"/>
      <w:marBottom w:val="0"/>
      <w:divBdr>
        <w:top w:val="none" w:sz="0" w:space="0" w:color="auto"/>
        <w:left w:val="none" w:sz="0" w:space="0" w:color="auto"/>
        <w:bottom w:val="none" w:sz="0" w:space="0" w:color="auto"/>
        <w:right w:val="none" w:sz="0" w:space="0" w:color="auto"/>
      </w:divBdr>
    </w:div>
    <w:div w:id="2044673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consultation.dpmc.govt.nz/national-security-group/critical-infrastucture-phase-1-public-consultation/"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hamlet\shares\kis\publications\DPMC\WIP2026\DPMC207_Cyber%20Security%20Strategy%20and%20Critical%20Infrastructure_Accessible%20documents\Art\Discussion%20document\creativecommons.org\licenses\by\4.0\" TargetMode="External"/><Relationship Id="rId20" Type="http://schemas.openxmlformats.org/officeDocument/2006/relationships/hyperlink" Target="mailto:criticalinfrastructure@dpmc.govt.nz"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oia.pmc.gov.au/sites/default/files/posts/2023/02/Impact%20Analysis.pdf" TargetMode="External"/><Relationship Id="rId3" Type="http://schemas.openxmlformats.org/officeDocument/2006/relationships/hyperlink" Target="https://www.dpmc.govt.nz/publications/new-zealands-cyber-security-strategy-2026-2030" TargetMode="External"/><Relationship Id="rId7" Type="http://schemas.openxmlformats.org/officeDocument/2006/relationships/hyperlink" Target="https://consultation.dpmc.govt.nz/national-security-group/critical-infrastucture-phase-1-public-consultation/" TargetMode="External"/><Relationship Id="rId2" Type="http://schemas.openxmlformats.org/officeDocument/2006/relationships/hyperlink" Target="https://www.dpmc.govt.nz/sites/default/files/2024-09/2024-National-Risks-Public-Survey-All-Threats-and-Hazards-Report.pdf" TargetMode="External"/><Relationship Id="rId1" Type="http://schemas.openxmlformats.org/officeDocument/2006/relationships/hyperlink" Target="https://www.ncsc.govt.nz/news/rise-in-financial-losses-reported-to-the-ncsc" TargetMode="External"/><Relationship Id="rId6" Type="http://schemas.openxmlformats.org/officeDocument/2006/relationships/hyperlink" Target="https://www.itu.int/epublications/publication/global-cybersecurity-index-2024" TargetMode="External"/><Relationship Id="rId11" Type="http://schemas.openxmlformats.org/officeDocument/2006/relationships/hyperlink" Target="https://nzism.gcsb.govt.nz/ism-document" TargetMode="External"/><Relationship Id="rId5" Type="http://schemas.openxmlformats.org/officeDocument/2006/relationships/hyperlink" Target="https://ncsi.ega.ee/ncsi-index/?order=rank&amp;type=c" TargetMode="External"/><Relationship Id="rId10" Type="http://schemas.openxmlformats.org/officeDocument/2006/relationships/hyperlink" Target="https://legislation.govt.nz/bill/government/2025/0236/latest/LMS1022328.html" TargetMode="External"/><Relationship Id="rId4" Type="http://schemas.openxmlformats.org/officeDocument/2006/relationships/hyperlink" Target="https://www.cisa.gov/sites/default/files/2024-03/Fact-Sheet-PRC-State-Sponsored-Cyber-Activity-Actions-for-Critical-Infrastructure-Leaders-508c_0.pdf" TargetMode="External"/><Relationship Id="rId9" Type="http://schemas.openxmlformats.org/officeDocument/2006/relationships/hyperlink" Target="https://legislation.govt.nz/bill/government/2025/0236/latest/LMS1022328.html" TargetMode="External"/></Relationships>
</file>

<file path=word/theme/theme1.xml><?xml version="1.0" encoding="utf-8"?>
<a:theme xmlns:a="http://schemas.openxmlformats.org/drawingml/2006/main" name="Office Theme">
  <a:themeElements>
    <a:clrScheme name="Custom 1">
      <a:dk1>
        <a:srgbClr val="000000"/>
      </a:dk1>
      <a:lt1>
        <a:sysClr val="window" lastClr="FFFFFF"/>
      </a:lt1>
      <a:dk2>
        <a:srgbClr val="505669"/>
      </a:dk2>
      <a:lt2>
        <a:srgbClr val="E7E6E6"/>
      </a:lt2>
      <a:accent1>
        <a:srgbClr val="B22B4F"/>
      </a:accent1>
      <a:accent2>
        <a:srgbClr val="048863"/>
      </a:accent2>
      <a:accent3>
        <a:srgbClr val="505669"/>
      </a:accent3>
      <a:accent4>
        <a:srgbClr val="00ABC5"/>
      </a:accent4>
      <a:accent5>
        <a:srgbClr val="DDE1E6"/>
      </a:accent5>
      <a:accent6>
        <a:srgbClr val="091D31"/>
      </a:accent6>
      <a:hlink>
        <a:srgbClr val="474E67"/>
      </a:hlink>
      <a:folHlink>
        <a:srgbClr val="B22B4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p r o p e r t i e s   x m l n s = " h t t p : / / w w w . i m a n a g e . c o m / w o r k / x m l s c h e m a " >  
     < d o c u m e n t i d > D P M C ! 5 1 4 2 6 1 6 . 2 < / d o c u m e n t i d >  
     < s e n d e r i d > C O R N I S H M O < / s e n d e r i d >  
     < s e n d e r e m a i l > M O N I Q U E . C O R N I S H @ D P M C . G O V T . N Z < / s e n d e r e m a i l >  
     < l a s t m o d i f i e d > 2 0 2 6 - 0 3 - 0 6 T 1 5 : 0 9 : 0 0 . 0 0 0 0 0 0 0 + 1 3 : 0 0 < / l a s t m o d i f i e d >  
     < d a t a b a s e > D P M C < / d a t a b a s e >  
 < / 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F94A38B23AA3C44AD6FE86E4E3EB575" ma:contentTypeVersion="5" ma:contentTypeDescription="Create a new document." ma:contentTypeScope="" ma:versionID="32d989c726effe94bf5dc10eab6c225d">
  <xsd:schema xmlns:xsd="http://www.w3.org/2001/XMLSchema" xmlns:xs="http://www.w3.org/2001/XMLSchema" xmlns:p="http://schemas.microsoft.com/office/2006/metadata/properties" xmlns:ns2="d2aa542d-4acd-486d-959d-ca7e5fd021f1" targetNamespace="http://schemas.microsoft.com/office/2006/metadata/properties" ma:root="true" ma:fieldsID="71c0434648107c4266cfa66482a61406" ns2:_="">
    <xsd:import namespace="d2aa542d-4acd-486d-959d-ca7e5fd021f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aa542d-4acd-486d-959d-ca7e5fd02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3E09A2-0FA9-41C9-9205-A6A514DF8996}">
  <ds:schemaRefs>
    <ds:schemaRef ds:uri="http://schemas.microsoft.com/sharepoint/v3/contenttype/forms"/>
  </ds:schemaRefs>
</ds:datastoreItem>
</file>

<file path=customXml/itemProps2.xml><?xml version="1.0" encoding="utf-8"?>
<ds:datastoreItem xmlns:ds="http://schemas.openxmlformats.org/officeDocument/2006/customXml" ds:itemID="{356FBD17-978A-4DA0-8135-F49D86CE3EC6}">
  <ds:schemaRefs>
    <ds:schemaRef ds:uri="http://www.imanage.com/work/xmlschema"/>
  </ds:schemaRefs>
</ds:datastoreItem>
</file>

<file path=customXml/itemProps3.xml><?xml version="1.0" encoding="utf-8"?>
<ds:datastoreItem xmlns:ds="http://schemas.openxmlformats.org/officeDocument/2006/customXml" ds:itemID="{BACD0738-1F7F-4CF2-B1B9-232D37056128}">
  <ds:schemaRefs>
    <ds:schemaRef ds:uri="http://purl.org/dc/terms/"/>
    <ds:schemaRef ds:uri="http://schemas.microsoft.com/office/2006/metadata/properties"/>
    <ds:schemaRef ds:uri="http://purl.org/dc/dcmitype/"/>
    <ds:schemaRef ds:uri="http://www.w3.org/XML/1998/namespace"/>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d2aa542d-4acd-486d-959d-ca7e5fd021f1"/>
  </ds:schemaRefs>
</ds:datastoreItem>
</file>

<file path=customXml/itemProps4.xml><?xml version="1.0" encoding="utf-8"?>
<ds:datastoreItem xmlns:ds="http://schemas.openxmlformats.org/officeDocument/2006/customXml" ds:itemID="{1E850D5D-B8E9-4E43-848F-B6C9F5D317F8}">
  <ds:schemaRefs>
    <ds:schemaRef ds:uri="http://schemas.openxmlformats.org/officeDocument/2006/bibliography"/>
  </ds:schemaRefs>
</ds:datastoreItem>
</file>

<file path=customXml/itemProps5.xml><?xml version="1.0" encoding="utf-8"?>
<ds:datastoreItem xmlns:ds="http://schemas.openxmlformats.org/officeDocument/2006/customXml" ds:itemID="{42161892-E3CC-4D6C-BD3A-82C6A4F1D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aa542d-4acd-486d-959d-ca7e5fd021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50</Pages>
  <Words>9362</Words>
  <Characters>56152</Characters>
  <Application>Microsoft Office Word</Application>
  <DocSecurity>0</DocSecurity>
  <Lines>1276</Lines>
  <Paragraphs>519</Paragraphs>
  <ScaleCrop>false</ScaleCrop>
  <HeadingPairs>
    <vt:vector size="2" baseType="variant">
      <vt:variant>
        <vt:lpstr>Title</vt:lpstr>
      </vt:variant>
      <vt:variant>
        <vt:i4>1</vt:i4>
      </vt:variant>
    </vt:vector>
  </HeadingPairs>
  <TitlesOfParts>
    <vt:vector size="1" baseType="lpstr">
      <vt:lpstr>Enhancing the cyber security of New Zelaland's critical infrastructure system</vt:lpstr>
    </vt:vector>
  </TitlesOfParts>
  <Manager/>
  <Company/>
  <LinksUpToDate>false</LinksUpToDate>
  <CharactersWithSpaces>64995</CharactersWithSpaces>
  <SharedDoc>false</SharedDoc>
  <HLinks>
    <vt:vector size="276" baseType="variant">
      <vt:variant>
        <vt:i4>5832732</vt:i4>
      </vt:variant>
      <vt:variant>
        <vt:i4>126</vt:i4>
      </vt:variant>
      <vt:variant>
        <vt:i4>0</vt:i4>
      </vt:variant>
      <vt:variant>
        <vt:i4>5</vt:i4>
      </vt:variant>
      <vt:variant>
        <vt:lpwstr>https://www.dpmc.govt.nz/our-programmes/national-security/critical-infrastructure-resilience</vt:lpwstr>
      </vt:variant>
      <vt:variant>
        <vt:lpwstr/>
      </vt:variant>
      <vt:variant>
        <vt:i4>4849704</vt:i4>
      </vt:variant>
      <vt:variant>
        <vt:i4>123</vt:i4>
      </vt:variant>
      <vt:variant>
        <vt:i4>0</vt:i4>
      </vt:variant>
      <vt:variant>
        <vt:i4>5</vt:i4>
      </vt:variant>
      <vt:variant>
        <vt:lpwstr>mailto:cyberstrategy@dpmc.govt.nz</vt:lpwstr>
      </vt:variant>
      <vt:variant>
        <vt:lpwstr/>
      </vt:variant>
      <vt:variant>
        <vt:i4>1769527</vt:i4>
      </vt:variant>
      <vt:variant>
        <vt:i4>107</vt:i4>
      </vt:variant>
      <vt:variant>
        <vt:i4>0</vt:i4>
      </vt:variant>
      <vt:variant>
        <vt:i4>5</vt:i4>
      </vt:variant>
      <vt:variant>
        <vt:lpwstr/>
      </vt:variant>
      <vt:variant>
        <vt:lpwstr>_Toc197707158</vt:lpwstr>
      </vt:variant>
      <vt:variant>
        <vt:i4>1769527</vt:i4>
      </vt:variant>
      <vt:variant>
        <vt:i4>101</vt:i4>
      </vt:variant>
      <vt:variant>
        <vt:i4>0</vt:i4>
      </vt:variant>
      <vt:variant>
        <vt:i4>5</vt:i4>
      </vt:variant>
      <vt:variant>
        <vt:lpwstr/>
      </vt:variant>
      <vt:variant>
        <vt:lpwstr>_Toc197707157</vt:lpwstr>
      </vt:variant>
      <vt:variant>
        <vt:i4>1769527</vt:i4>
      </vt:variant>
      <vt:variant>
        <vt:i4>95</vt:i4>
      </vt:variant>
      <vt:variant>
        <vt:i4>0</vt:i4>
      </vt:variant>
      <vt:variant>
        <vt:i4>5</vt:i4>
      </vt:variant>
      <vt:variant>
        <vt:lpwstr/>
      </vt:variant>
      <vt:variant>
        <vt:lpwstr>_Toc197707150</vt:lpwstr>
      </vt:variant>
      <vt:variant>
        <vt:i4>1703991</vt:i4>
      </vt:variant>
      <vt:variant>
        <vt:i4>89</vt:i4>
      </vt:variant>
      <vt:variant>
        <vt:i4>0</vt:i4>
      </vt:variant>
      <vt:variant>
        <vt:i4>5</vt:i4>
      </vt:variant>
      <vt:variant>
        <vt:lpwstr/>
      </vt:variant>
      <vt:variant>
        <vt:lpwstr>_Toc197707149</vt:lpwstr>
      </vt:variant>
      <vt:variant>
        <vt:i4>1703991</vt:i4>
      </vt:variant>
      <vt:variant>
        <vt:i4>83</vt:i4>
      </vt:variant>
      <vt:variant>
        <vt:i4>0</vt:i4>
      </vt:variant>
      <vt:variant>
        <vt:i4>5</vt:i4>
      </vt:variant>
      <vt:variant>
        <vt:lpwstr/>
      </vt:variant>
      <vt:variant>
        <vt:lpwstr>_Toc197707144</vt:lpwstr>
      </vt:variant>
      <vt:variant>
        <vt:i4>1703991</vt:i4>
      </vt:variant>
      <vt:variant>
        <vt:i4>77</vt:i4>
      </vt:variant>
      <vt:variant>
        <vt:i4>0</vt:i4>
      </vt:variant>
      <vt:variant>
        <vt:i4>5</vt:i4>
      </vt:variant>
      <vt:variant>
        <vt:lpwstr/>
      </vt:variant>
      <vt:variant>
        <vt:lpwstr>_Toc197707140</vt:lpwstr>
      </vt:variant>
      <vt:variant>
        <vt:i4>1900599</vt:i4>
      </vt:variant>
      <vt:variant>
        <vt:i4>71</vt:i4>
      </vt:variant>
      <vt:variant>
        <vt:i4>0</vt:i4>
      </vt:variant>
      <vt:variant>
        <vt:i4>5</vt:i4>
      </vt:variant>
      <vt:variant>
        <vt:lpwstr/>
      </vt:variant>
      <vt:variant>
        <vt:lpwstr>_Toc197707136</vt:lpwstr>
      </vt:variant>
      <vt:variant>
        <vt:i4>1900599</vt:i4>
      </vt:variant>
      <vt:variant>
        <vt:i4>65</vt:i4>
      </vt:variant>
      <vt:variant>
        <vt:i4>0</vt:i4>
      </vt:variant>
      <vt:variant>
        <vt:i4>5</vt:i4>
      </vt:variant>
      <vt:variant>
        <vt:lpwstr/>
      </vt:variant>
      <vt:variant>
        <vt:lpwstr>_Toc197707131</vt:lpwstr>
      </vt:variant>
      <vt:variant>
        <vt:i4>1835063</vt:i4>
      </vt:variant>
      <vt:variant>
        <vt:i4>59</vt:i4>
      </vt:variant>
      <vt:variant>
        <vt:i4>0</vt:i4>
      </vt:variant>
      <vt:variant>
        <vt:i4>5</vt:i4>
      </vt:variant>
      <vt:variant>
        <vt:lpwstr/>
      </vt:variant>
      <vt:variant>
        <vt:lpwstr>_Toc197707127</vt:lpwstr>
      </vt:variant>
      <vt:variant>
        <vt:i4>1835063</vt:i4>
      </vt:variant>
      <vt:variant>
        <vt:i4>53</vt:i4>
      </vt:variant>
      <vt:variant>
        <vt:i4>0</vt:i4>
      </vt:variant>
      <vt:variant>
        <vt:i4>5</vt:i4>
      </vt:variant>
      <vt:variant>
        <vt:lpwstr/>
      </vt:variant>
      <vt:variant>
        <vt:lpwstr>_Toc197707124</vt:lpwstr>
      </vt:variant>
      <vt:variant>
        <vt:i4>2031671</vt:i4>
      </vt:variant>
      <vt:variant>
        <vt:i4>47</vt:i4>
      </vt:variant>
      <vt:variant>
        <vt:i4>0</vt:i4>
      </vt:variant>
      <vt:variant>
        <vt:i4>5</vt:i4>
      </vt:variant>
      <vt:variant>
        <vt:lpwstr/>
      </vt:variant>
      <vt:variant>
        <vt:lpwstr>_Toc197707117</vt:lpwstr>
      </vt:variant>
      <vt:variant>
        <vt:i4>2031671</vt:i4>
      </vt:variant>
      <vt:variant>
        <vt:i4>41</vt:i4>
      </vt:variant>
      <vt:variant>
        <vt:i4>0</vt:i4>
      </vt:variant>
      <vt:variant>
        <vt:i4>5</vt:i4>
      </vt:variant>
      <vt:variant>
        <vt:lpwstr/>
      </vt:variant>
      <vt:variant>
        <vt:lpwstr>_Toc197707113</vt:lpwstr>
      </vt:variant>
      <vt:variant>
        <vt:i4>1966135</vt:i4>
      </vt:variant>
      <vt:variant>
        <vt:i4>35</vt:i4>
      </vt:variant>
      <vt:variant>
        <vt:i4>0</vt:i4>
      </vt:variant>
      <vt:variant>
        <vt:i4>5</vt:i4>
      </vt:variant>
      <vt:variant>
        <vt:lpwstr/>
      </vt:variant>
      <vt:variant>
        <vt:lpwstr>_Toc197707106</vt:lpwstr>
      </vt:variant>
      <vt:variant>
        <vt:i4>1507382</vt:i4>
      </vt:variant>
      <vt:variant>
        <vt:i4>29</vt:i4>
      </vt:variant>
      <vt:variant>
        <vt:i4>0</vt:i4>
      </vt:variant>
      <vt:variant>
        <vt:i4>5</vt:i4>
      </vt:variant>
      <vt:variant>
        <vt:lpwstr/>
      </vt:variant>
      <vt:variant>
        <vt:lpwstr>_Toc197707097</vt:lpwstr>
      </vt:variant>
      <vt:variant>
        <vt:i4>1507382</vt:i4>
      </vt:variant>
      <vt:variant>
        <vt:i4>23</vt:i4>
      </vt:variant>
      <vt:variant>
        <vt:i4>0</vt:i4>
      </vt:variant>
      <vt:variant>
        <vt:i4>5</vt:i4>
      </vt:variant>
      <vt:variant>
        <vt:lpwstr/>
      </vt:variant>
      <vt:variant>
        <vt:lpwstr>_Toc197707096</vt:lpwstr>
      </vt:variant>
      <vt:variant>
        <vt:i4>1507382</vt:i4>
      </vt:variant>
      <vt:variant>
        <vt:i4>17</vt:i4>
      </vt:variant>
      <vt:variant>
        <vt:i4>0</vt:i4>
      </vt:variant>
      <vt:variant>
        <vt:i4>5</vt:i4>
      </vt:variant>
      <vt:variant>
        <vt:lpwstr/>
      </vt:variant>
      <vt:variant>
        <vt:lpwstr>_Toc197707095</vt:lpwstr>
      </vt:variant>
      <vt:variant>
        <vt:i4>1507382</vt:i4>
      </vt:variant>
      <vt:variant>
        <vt:i4>11</vt:i4>
      </vt:variant>
      <vt:variant>
        <vt:i4>0</vt:i4>
      </vt:variant>
      <vt:variant>
        <vt:i4>5</vt:i4>
      </vt:variant>
      <vt:variant>
        <vt:lpwstr/>
      </vt:variant>
      <vt:variant>
        <vt:lpwstr>_Toc197707092</vt:lpwstr>
      </vt:variant>
      <vt:variant>
        <vt:i4>5767210</vt:i4>
      </vt:variant>
      <vt:variant>
        <vt:i4>6</vt:i4>
      </vt:variant>
      <vt:variant>
        <vt:i4>0</vt:i4>
      </vt:variant>
      <vt:variant>
        <vt:i4>5</vt:i4>
      </vt:variant>
      <vt:variant>
        <vt:lpwstr>mailto:media@dpmc.govt.nz</vt:lpwstr>
      </vt:variant>
      <vt:variant>
        <vt:lpwstr/>
      </vt:variant>
      <vt:variant>
        <vt:i4>5636102</vt:i4>
      </vt:variant>
      <vt:variant>
        <vt:i4>3</vt:i4>
      </vt:variant>
      <vt:variant>
        <vt:i4>0</vt:i4>
      </vt:variant>
      <vt:variant>
        <vt:i4>5</vt:i4>
      </vt:variant>
      <vt:variant>
        <vt:lpwstr>http://www.dpmc.govt.nz/</vt:lpwstr>
      </vt:variant>
      <vt:variant>
        <vt:lpwstr/>
      </vt:variant>
      <vt:variant>
        <vt:i4>6226006</vt:i4>
      </vt:variant>
      <vt:variant>
        <vt:i4>60</vt:i4>
      </vt:variant>
      <vt:variant>
        <vt:i4>0</vt:i4>
      </vt:variant>
      <vt:variant>
        <vt:i4>5</vt:i4>
      </vt:variant>
      <vt:variant>
        <vt:lpwstr>https://www.mbie.govt.nz/assets/27925fb9a7/liquid-fuel-use-in-new-zealand.pdf</vt:lpwstr>
      </vt:variant>
      <vt:variant>
        <vt:lpwstr/>
      </vt:variant>
      <vt:variant>
        <vt:i4>8257634</vt:i4>
      </vt:variant>
      <vt:variant>
        <vt:i4>57</vt:i4>
      </vt:variant>
      <vt:variant>
        <vt:i4>0</vt:i4>
      </vt:variant>
      <vt:variant>
        <vt:i4>5</vt:i4>
      </vt:variant>
      <vt:variant>
        <vt:lpwstr>https://www.legislation.govt.nz/act/public/2022/0071/27.0/096be8ed81cf052a.pdf</vt:lpwstr>
      </vt:variant>
      <vt:variant>
        <vt:lpwstr/>
      </vt:variant>
      <vt:variant>
        <vt:i4>7929972</vt:i4>
      </vt:variant>
      <vt:variant>
        <vt:i4>54</vt:i4>
      </vt:variant>
      <vt:variant>
        <vt:i4>0</vt:i4>
      </vt:variant>
      <vt:variant>
        <vt:i4>5</vt:i4>
      </vt:variant>
      <vt:variant>
        <vt:lpwstr>https://www.legislation.govt.nz/act/public/2005/0082/latest/whole.html</vt:lpwstr>
      </vt:variant>
      <vt:variant>
        <vt:lpwstr>DLM356881</vt:lpwstr>
      </vt:variant>
      <vt:variant>
        <vt:i4>7667835</vt:i4>
      </vt:variant>
      <vt:variant>
        <vt:i4>51</vt:i4>
      </vt:variant>
      <vt:variant>
        <vt:i4>0</vt:i4>
      </vt:variant>
      <vt:variant>
        <vt:i4>5</vt:i4>
      </vt:variant>
      <vt:variant>
        <vt:lpwstr>https://www.critical-entities-resilience-directive.com/</vt:lpwstr>
      </vt:variant>
      <vt:variant>
        <vt:lpwstr/>
      </vt:variant>
      <vt:variant>
        <vt:i4>3473469</vt:i4>
      </vt:variant>
      <vt:variant>
        <vt:i4>48</vt:i4>
      </vt:variant>
      <vt:variant>
        <vt:i4>0</vt:i4>
      </vt:variant>
      <vt:variant>
        <vt:i4>5</vt:i4>
      </vt:variant>
      <vt:variant>
        <vt:lpwstr>https://www.legislation.gov.au/C2018A00029/latest/versions</vt:lpwstr>
      </vt:variant>
      <vt:variant>
        <vt:lpwstr/>
      </vt:variant>
      <vt:variant>
        <vt:i4>1572939</vt:i4>
      </vt:variant>
      <vt:variant>
        <vt:i4>45</vt:i4>
      </vt:variant>
      <vt:variant>
        <vt:i4>0</vt:i4>
      </vt:variant>
      <vt:variant>
        <vt:i4>5</vt:i4>
      </vt:variant>
      <vt:variant>
        <vt:lpwstr>https://legislation.govt.nz/act/public/2017/0010/latest/whole.html</vt:lpwstr>
      </vt:variant>
      <vt:variant>
        <vt:lpwstr>DLM7118909</vt:lpwstr>
      </vt:variant>
      <vt:variant>
        <vt:i4>3538998</vt:i4>
      </vt:variant>
      <vt:variant>
        <vt:i4>42</vt:i4>
      </vt:variant>
      <vt:variant>
        <vt:i4>0</vt:i4>
      </vt:variant>
      <vt:variant>
        <vt:i4>5</vt:i4>
      </vt:variant>
      <vt:variant>
        <vt:lpwstr>https://www.beehive.govt.nz/sites/default/files/2023-07/CSAC Report.pdf</vt:lpwstr>
      </vt:variant>
      <vt:variant>
        <vt:lpwstr/>
      </vt:variant>
      <vt:variant>
        <vt:i4>4325462</vt:i4>
      </vt:variant>
      <vt:variant>
        <vt:i4>36</vt:i4>
      </vt:variant>
      <vt:variant>
        <vt:i4>0</vt:i4>
      </vt:variant>
      <vt:variant>
        <vt:i4>5</vt:i4>
      </vt:variant>
      <vt:variant>
        <vt:lpwstr>https://www.civildefence.govt.nz/assets/Uploads/documents/EM-Bill/Discussion-document-Strengthening-New-Zealands-emergency-management-legislation.pdf</vt:lpwstr>
      </vt:variant>
      <vt:variant>
        <vt:lpwstr/>
      </vt:variant>
      <vt:variant>
        <vt:i4>3211364</vt:i4>
      </vt:variant>
      <vt:variant>
        <vt:i4>30</vt:i4>
      </vt:variant>
      <vt:variant>
        <vt:i4>0</vt:i4>
      </vt:variant>
      <vt:variant>
        <vt:i4>5</vt:i4>
      </vt:variant>
      <vt:variant>
        <vt:lpwstr>https://oia.pmc.gov.au/sites/default/files/posts/2023/02/Impact Analysis.pdf</vt:lpwstr>
      </vt:variant>
      <vt:variant>
        <vt:lpwstr>page=32&amp;zoom=100,72,544</vt:lpwstr>
      </vt:variant>
      <vt:variant>
        <vt:i4>2752552</vt:i4>
      </vt:variant>
      <vt:variant>
        <vt:i4>27</vt:i4>
      </vt:variant>
      <vt:variant>
        <vt:i4>0</vt:i4>
      </vt:variant>
      <vt:variant>
        <vt:i4>5</vt:i4>
      </vt:variant>
      <vt:variant>
        <vt:lpwstr>https://www.oecd-ilibrary.org/docserver/02f0e5a0-en.pdf?expires=1683501029&amp;id=id&amp;accname=ocid56017414&amp;checksum=A11158D51D597E8921A2B0747988EB08</vt:lpwstr>
      </vt:variant>
      <vt:variant>
        <vt:lpwstr/>
      </vt:variant>
      <vt:variant>
        <vt:i4>3866687</vt:i4>
      </vt:variant>
      <vt:variant>
        <vt:i4>24</vt:i4>
      </vt:variant>
      <vt:variant>
        <vt:i4>0</vt:i4>
      </vt:variant>
      <vt:variant>
        <vt:i4>5</vt:i4>
      </vt:variant>
      <vt:variant>
        <vt:lpwstr>https://www.marsh.com/en-gb/services/international-placement-services/insights/new-zealand-insurance-market-update-2023-review.html</vt:lpwstr>
      </vt:variant>
      <vt:variant>
        <vt:lpwstr/>
      </vt:variant>
      <vt:variant>
        <vt:i4>2228322</vt:i4>
      </vt:variant>
      <vt:variant>
        <vt:i4>15</vt:i4>
      </vt:variant>
      <vt:variant>
        <vt:i4>0</vt:i4>
      </vt:variant>
      <vt:variant>
        <vt:i4>5</vt:i4>
      </vt:variant>
      <vt:variant>
        <vt:lpwstr>https://www.mfat.govt.nz/assets/About-us-Corporate/MFAT-strategies-and-frameworks/MFATs-2023-Strategic-Foreign-Policy-Assessment-Navigating-a-shifting-world-June-2023.pdf</vt:lpwstr>
      </vt:variant>
      <vt:variant>
        <vt:lpwstr/>
      </vt:variant>
      <vt:variant>
        <vt:i4>6291568</vt:i4>
      </vt:variant>
      <vt:variant>
        <vt:i4>12</vt:i4>
      </vt:variant>
      <vt:variant>
        <vt:i4>0</vt:i4>
      </vt:variant>
      <vt:variant>
        <vt:i4>5</vt:i4>
      </vt:variant>
      <vt:variant>
        <vt:lpwstr>https://www.ncsc.govt.nz/assets/NCSC-Documents/NCSC-Cyber-Threat-Report-2024-FINAL.pdf</vt:lpwstr>
      </vt:variant>
      <vt:variant>
        <vt:lpwstr/>
      </vt:variant>
      <vt:variant>
        <vt:i4>6291570</vt:i4>
      </vt:variant>
      <vt:variant>
        <vt:i4>9</vt:i4>
      </vt:variant>
      <vt:variant>
        <vt:i4>0</vt:i4>
      </vt:variant>
      <vt:variant>
        <vt:i4>5</vt:i4>
      </vt:variant>
      <vt:variant>
        <vt:lpwstr>https://www.nzsis.govt.nz/assets/NZSIS-Documents/New-Zealands-Security-Threat-Environment-2023.pdf</vt:lpwstr>
      </vt:variant>
      <vt:variant>
        <vt:lpwstr/>
      </vt:variant>
      <vt:variant>
        <vt:i4>5832732</vt:i4>
      </vt:variant>
      <vt:variant>
        <vt:i4>6</vt:i4>
      </vt:variant>
      <vt:variant>
        <vt:i4>0</vt:i4>
      </vt:variant>
      <vt:variant>
        <vt:i4>5</vt:i4>
      </vt:variant>
      <vt:variant>
        <vt:lpwstr>https://www.dpmc.govt.nz/our-programmes/national-security/critical-infrastructure-resilience</vt:lpwstr>
      </vt:variant>
      <vt:variant>
        <vt:lpwstr/>
      </vt:variant>
      <vt:variant>
        <vt:i4>4325462</vt:i4>
      </vt:variant>
      <vt:variant>
        <vt:i4>3</vt:i4>
      </vt:variant>
      <vt:variant>
        <vt:i4>0</vt:i4>
      </vt:variant>
      <vt:variant>
        <vt:i4>5</vt:i4>
      </vt:variant>
      <vt:variant>
        <vt:lpwstr>https://www.civildefence.govt.nz/assets/Uploads/documents/EM-Bill/Discussion-document-Strengthening-New-Zealands-emergency-management-legislation.pdf</vt:lpwstr>
      </vt:variant>
      <vt:variant>
        <vt:lpwstr/>
      </vt:variant>
      <vt:variant>
        <vt:i4>4718673</vt:i4>
      </vt:variant>
      <vt:variant>
        <vt:i4>0</vt:i4>
      </vt:variant>
      <vt:variant>
        <vt:i4>0</vt:i4>
      </vt:variant>
      <vt:variant>
        <vt:i4>5</vt:i4>
      </vt:variant>
      <vt:variant>
        <vt:lpwstr>https://www.dpmc.govt.nz/sites/default/files/2024-09/2024-National-Risks-Public-Survey-All-Threats-and-Hazards-Report.pdf</vt:lpwstr>
      </vt:variant>
      <vt:variant>
        <vt:lpwstr/>
      </vt:variant>
      <vt:variant>
        <vt:i4>3145845</vt:i4>
      </vt:variant>
      <vt:variant>
        <vt:i4>21</vt:i4>
      </vt:variant>
      <vt:variant>
        <vt:i4>0</vt:i4>
      </vt:variant>
      <vt:variant>
        <vt:i4>5</vt:i4>
      </vt:variant>
      <vt:variant>
        <vt:lpwstr>https://www.dia.govt.nz/diawebsite.nsf/Files/Water-Services-Policy/$file/LWDW-Bill-3-factsheet-Economic-regulation-and-consumer-protection.pdf</vt:lpwstr>
      </vt:variant>
      <vt:variant>
        <vt:lpwstr/>
      </vt:variant>
      <vt:variant>
        <vt:i4>3866673</vt:i4>
      </vt:variant>
      <vt:variant>
        <vt:i4>18</vt:i4>
      </vt:variant>
      <vt:variant>
        <vt:i4>0</vt:i4>
      </vt:variant>
      <vt:variant>
        <vt:i4>5</vt:i4>
      </vt:variant>
      <vt:variant>
        <vt:lpwstr>https://www.cisc.gov.au/resources-subsite/Documents/cisc-factsheet-systems-of-national-significance-enhanced-cyber-security-obligations.pdf</vt:lpwstr>
      </vt:variant>
      <vt:variant>
        <vt:lpwstr/>
      </vt:variant>
      <vt:variant>
        <vt:i4>4259937</vt:i4>
      </vt:variant>
      <vt:variant>
        <vt:i4>15</vt:i4>
      </vt:variant>
      <vt:variant>
        <vt:i4>0</vt:i4>
      </vt:variant>
      <vt:variant>
        <vt:i4>5</vt:i4>
      </vt:variant>
      <vt:variant>
        <vt:lpwstr>mailto:Kate.Avery@dpmc.govt.nz</vt:lpwstr>
      </vt:variant>
      <vt:variant>
        <vt:lpwstr/>
      </vt:variant>
      <vt:variant>
        <vt:i4>2490467</vt:i4>
      </vt:variant>
      <vt:variant>
        <vt:i4>12</vt:i4>
      </vt:variant>
      <vt:variant>
        <vt:i4>0</vt:i4>
      </vt:variant>
      <vt:variant>
        <vt:i4>5</vt:i4>
      </vt:variant>
      <vt:variant>
        <vt:lpwstr>https://ldac.org.nz/guidelines/legislation-guidelines-2021-edition/issues-relevant-to-all-legislation-2/chapter-11</vt:lpwstr>
      </vt:variant>
      <vt:variant>
        <vt:lpwstr/>
      </vt:variant>
      <vt:variant>
        <vt:i4>3145845</vt:i4>
      </vt:variant>
      <vt:variant>
        <vt:i4>9</vt:i4>
      </vt:variant>
      <vt:variant>
        <vt:i4>0</vt:i4>
      </vt:variant>
      <vt:variant>
        <vt:i4>5</vt:i4>
      </vt:variant>
      <vt:variant>
        <vt:lpwstr>https://www.dia.govt.nz/diawebsite.nsf/Files/Water-Services-Policy/$file/LWDW-Bill-3-factsheet-Economic-regulation-and-consumer-protection.pdf</vt:lpwstr>
      </vt:variant>
      <vt:variant>
        <vt:lpwstr/>
      </vt:variant>
      <vt:variant>
        <vt:i4>3604489</vt:i4>
      </vt:variant>
      <vt:variant>
        <vt:i4>6</vt:i4>
      </vt:variant>
      <vt:variant>
        <vt:i4>0</vt:i4>
      </vt:variant>
      <vt:variant>
        <vt:i4>5</vt:i4>
      </vt:variant>
      <vt:variant>
        <vt:lpwstr>mailto:Monique.Cornish@dpmc.govt.nz</vt:lpwstr>
      </vt:variant>
      <vt:variant>
        <vt:lpwstr/>
      </vt:variant>
      <vt:variant>
        <vt:i4>1114170</vt:i4>
      </vt:variant>
      <vt:variant>
        <vt:i4>3</vt:i4>
      </vt:variant>
      <vt:variant>
        <vt:i4>0</vt:i4>
      </vt:variant>
      <vt:variant>
        <vt:i4>5</vt:i4>
      </vt:variant>
      <vt:variant>
        <vt:lpwstr>mailto:Emma.Bickerstaffe@dpmc.govt.nz</vt:lpwstr>
      </vt:variant>
      <vt:variant>
        <vt:lpwstr/>
      </vt:variant>
      <vt:variant>
        <vt:i4>4259937</vt:i4>
      </vt:variant>
      <vt:variant>
        <vt:i4>0</vt:i4>
      </vt:variant>
      <vt:variant>
        <vt:i4>0</vt:i4>
      </vt:variant>
      <vt:variant>
        <vt:i4>5</vt:i4>
      </vt:variant>
      <vt:variant>
        <vt:lpwstr>mailto:Kate.Avery@dpmc.govt.nz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the cyber security of New Zelaland's critical infrastructure system</dc:title>
  <dc:subject/>
  <dc:creator>Department of the Prime Minister and Cabinet (DPMC)</dc:creator>
  <cp:keywords/>
  <dc:description/>
  <cp:revision>6</cp:revision>
  <cp:lastPrinted>2025-06-09T05:01:00Z</cp:lastPrinted>
  <dcterms:created xsi:type="dcterms:W3CDTF">2026-03-26T00:40:00Z</dcterms:created>
  <dcterms:modified xsi:type="dcterms:W3CDTF">2026-03-26T21:40:00Z</dcterms:modified>
  <cp:contentStatus>Draft</cp:contentStatus>
</cp:coreProperties>
</file>